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005811E3">
        <w:rPr>
          <w:i/>
          <w:sz w:val="20"/>
          <w:szCs w:val="20"/>
        </w:rPr>
        <w:t>, от 23.03.2021 №0196-па</w:t>
      </w:r>
      <w:proofErr w:type="gramStart"/>
      <w:r w:rsidR="007751BD">
        <w:rPr>
          <w:i/>
          <w:sz w:val="20"/>
          <w:szCs w:val="20"/>
        </w:rPr>
        <w:t>,о</w:t>
      </w:r>
      <w:proofErr w:type="gramEnd"/>
      <w:r w:rsidR="007751BD">
        <w:rPr>
          <w:i/>
          <w:sz w:val="20"/>
          <w:szCs w:val="20"/>
        </w:rPr>
        <w:t>т 09.11.2021№1011-па</w:t>
      </w:r>
      <w:r w:rsidR="002802CA">
        <w:rPr>
          <w:i/>
          <w:sz w:val="20"/>
          <w:szCs w:val="20"/>
        </w:rPr>
        <w:t>, от 29.11.2021 №1092-па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lastRenderedPageBreak/>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r w:rsidR="00B3111E">
              <w:rPr>
                <w:i/>
                <w:sz w:val="20"/>
                <w:szCs w:val="20"/>
              </w:rPr>
              <w:t>, от 23.03.2021 №0196-па</w:t>
            </w:r>
            <w:r w:rsidR="00537906">
              <w:rPr>
                <w:i/>
                <w:sz w:val="20"/>
                <w:szCs w:val="20"/>
              </w:rPr>
              <w:t>, от 09.11.2021 №</w:t>
            </w:r>
            <w:r w:rsidR="00291C6C">
              <w:rPr>
                <w:i/>
                <w:sz w:val="20"/>
                <w:szCs w:val="20"/>
              </w:rPr>
              <w:t>1011-па, от 29.11.2021 №1092-па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7751BD">
              <w:rPr>
                <w:rFonts w:ascii="Times New Roman" w:hAnsi="Times New Roman" w:cs="Times New Roman"/>
                <w:sz w:val="28"/>
                <w:szCs w:val="28"/>
              </w:rPr>
              <w:t>124</w:t>
            </w:r>
            <w:r w:rsidR="00291C6C">
              <w:rPr>
                <w:rFonts w:ascii="Times New Roman" w:hAnsi="Times New Roman" w:cs="Times New Roman"/>
                <w:sz w:val="28"/>
                <w:szCs w:val="28"/>
              </w:rPr>
              <w:t>68</w:t>
            </w:r>
            <w:r w:rsidR="007751BD">
              <w:rPr>
                <w:rFonts w:ascii="Times New Roman" w:hAnsi="Times New Roman" w:cs="Times New Roman"/>
                <w:sz w:val="28"/>
                <w:szCs w:val="28"/>
              </w:rPr>
              <w:t>,</w:t>
            </w:r>
            <w:r w:rsidR="00291C6C">
              <w:rPr>
                <w:rFonts w:ascii="Times New Roman" w:hAnsi="Times New Roman" w:cs="Times New Roman"/>
                <w:sz w:val="28"/>
                <w:szCs w:val="28"/>
              </w:rPr>
              <w:t>5</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3111E">
              <w:rPr>
                <w:rFonts w:ascii="Times New Roman" w:hAnsi="Times New Roman" w:cs="Times New Roman"/>
                <w:sz w:val="28"/>
                <w:szCs w:val="28"/>
              </w:rPr>
              <w:t>1522,6</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B3111E"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4693,0</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291C6C"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2943,8 </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0C45BA"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3309</w:t>
            </w:r>
            <w:r w:rsidR="00CF3BBB">
              <w:rPr>
                <w:rFonts w:ascii="Times New Roman" w:hAnsi="Times New Roman" w:cs="Times New Roman"/>
                <w:sz w:val="28"/>
                <w:szCs w:val="28"/>
              </w:rPr>
              <w:t>,</w:t>
            </w:r>
            <w:r>
              <w:rPr>
                <w:rFonts w:ascii="Times New Roman" w:hAnsi="Times New Roman" w:cs="Times New Roman"/>
                <w:sz w:val="28"/>
                <w:szCs w:val="28"/>
              </w:rPr>
              <w:t>1</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w:t>
      </w:r>
      <w:r w:rsidR="004A1EC7" w:rsidRPr="00891B8A">
        <w:rPr>
          <w:color w:val="000000"/>
        </w:rPr>
        <w:lastRenderedPageBreak/>
        <w:t xml:space="preserve">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lastRenderedPageBreak/>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r w:rsidR="00537906">
        <w:t xml:space="preserve"> </w:t>
      </w:r>
    </w:p>
    <w:p w:rsidR="00F33BA0" w:rsidRPr="00F33BA0" w:rsidRDefault="00F33BA0" w:rsidP="00C12CBA">
      <w:pPr>
        <w:rPr>
          <w:i/>
          <w:sz w:val="20"/>
          <w:szCs w:val="20"/>
        </w:rPr>
      </w:pPr>
      <w:r>
        <w:rPr>
          <w:i/>
          <w:sz w:val="20"/>
          <w:szCs w:val="20"/>
        </w:rPr>
        <w:t>(в редакции постановления администрации МО «</w:t>
      </w:r>
      <w:proofErr w:type="spellStart"/>
      <w:r>
        <w:rPr>
          <w:i/>
          <w:sz w:val="20"/>
          <w:szCs w:val="20"/>
        </w:rPr>
        <w:t>Пинежский</w:t>
      </w:r>
      <w:proofErr w:type="spellEnd"/>
      <w:r>
        <w:rPr>
          <w:i/>
          <w:sz w:val="20"/>
          <w:szCs w:val="20"/>
        </w:rPr>
        <w:t xml:space="preserve"> район» от 09.11.2021 №1011-па</w:t>
      </w:r>
      <w:r w:rsidR="00764024">
        <w:rPr>
          <w:i/>
          <w:sz w:val="20"/>
          <w:szCs w:val="20"/>
        </w:rPr>
        <w:t>, от 29.11.2021 №1092-па</w:t>
      </w:r>
      <w:r>
        <w:rPr>
          <w:i/>
          <w:sz w:val="20"/>
          <w:szCs w:val="20"/>
        </w:rPr>
        <w:t>)</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24412F" w:rsidP="00C12CBA">
            <w:pPr>
              <w:jc w:val="center"/>
              <w:rPr>
                <w:sz w:val="24"/>
                <w:szCs w:val="24"/>
              </w:rPr>
            </w:pPr>
            <w:r>
              <w:rPr>
                <w:sz w:val="24"/>
                <w:szCs w:val="24"/>
              </w:rPr>
              <w:t>423,8</w:t>
            </w:r>
          </w:p>
        </w:tc>
        <w:tc>
          <w:tcPr>
            <w:tcW w:w="850" w:type="dxa"/>
            <w:vAlign w:val="center"/>
          </w:tcPr>
          <w:p w:rsidR="009605BD" w:rsidRPr="00630F46" w:rsidRDefault="009906D2" w:rsidP="00C12CBA">
            <w:pPr>
              <w:jc w:val="center"/>
              <w:rPr>
                <w:sz w:val="24"/>
                <w:szCs w:val="24"/>
              </w:rPr>
            </w:pPr>
            <w:r>
              <w:rPr>
                <w:sz w:val="24"/>
                <w:szCs w:val="24"/>
              </w:rPr>
              <w:t>540,0</w:t>
            </w:r>
          </w:p>
        </w:tc>
        <w:tc>
          <w:tcPr>
            <w:tcW w:w="851" w:type="dxa"/>
            <w:vAlign w:val="center"/>
          </w:tcPr>
          <w:p w:rsidR="009605BD" w:rsidRPr="00630F46" w:rsidRDefault="009906D2" w:rsidP="00C12CBA">
            <w:pPr>
              <w:jc w:val="center"/>
              <w:rPr>
                <w:sz w:val="24"/>
                <w:szCs w:val="24"/>
              </w:rPr>
            </w:pPr>
            <w:r>
              <w:rPr>
                <w:sz w:val="24"/>
                <w:szCs w:val="24"/>
              </w:rPr>
              <w:t>540,0</w:t>
            </w:r>
          </w:p>
        </w:tc>
        <w:tc>
          <w:tcPr>
            <w:tcW w:w="850" w:type="dxa"/>
            <w:vAlign w:val="center"/>
          </w:tcPr>
          <w:p w:rsidR="009605BD" w:rsidRPr="00630F46" w:rsidRDefault="009906D2" w:rsidP="00C12CBA">
            <w:pPr>
              <w:jc w:val="center"/>
              <w:rPr>
                <w:sz w:val="24"/>
                <w:szCs w:val="24"/>
              </w:rPr>
            </w:pPr>
            <w:r>
              <w:rPr>
                <w:sz w:val="24"/>
                <w:szCs w:val="24"/>
              </w:rPr>
              <w:t>540,0</w:t>
            </w:r>
          </w:p>
        </w:tc>
        <w:tc>
          <w:tcPr>
            <w:tcW w:w="815" w:type="dxa"/>
            <w:vAlign w:val="center"/>
          </w:tcPr>
          <w:p w:rsidR="009605BD" w:rsidRPr="00630F46" w:rsidRDefault="009906D2" w:rsidP="00C12CBA">
            <w:pPr>
              <w:jc w:val="center"/>
              <w:rPr>
                <w:sz w:val="24"/>
                <w:szCs w:val="24"/>
              </w:rPr>
            </w:pPr>
            <w:r>
              <w:rPr>
                <w:sz w:val="24"/>
                <w:szCs w:val="24"/>
              </w:rPr>
              <w:t>540,0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2C7679">
        <w:rPr>
          <w:i/>
          <w:sz w:val="20"/>
          <w:szCs w:val="20"/>
        </w:rPr>
        <w:t>, от 23.01.2021 №0196-па</w:t>
      </w:r>
      <w:r w:rsidR="003338AD">
        <w:rPr>
          <w:i/>
          <w:sz w:val="20"/>
          <w:szCs w:val="20"/>
        </w:rPr>
        <w:t>№1011-па</w:t>
      </w:r>
      <w:r w:rsidR="006C5571">
        <w:rPr>
          <w:i/>
          <w:sz w:val="20"/>
          <w:szCs w:val="20"/>
        </w:rPr>
        <w:t>, от 29.11.2021 №1092-па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37"/>
        <w:gridCol w:w="1829"/>
        <w:gridCol w:w="1603"/>
        <w:gridCol w:w="1001"/>
        <w:gridCol w:w="825"/>
        <w:gridCol w:w="7"/>
        <w:gridCol w:w="26"/>
        <w:gridCol w:w="10"/>
        <w:gridCol w:w="36"/>
        <w:gridCol w:w="809"/>
        <w:gridCol w:w="7"/>
        <w:gridCol w:w="135"/>
        <w:gridCol w:w="777"/>
        <w:gridCol w:w="82"/>
        <w:gridCol w:w="627"/>
        <w:gridCol w:w="56"/>
        <w:gridCol w:w="26"/>
        <w:gridCol w:w="38"/>
        <w:gridCol w:w="12"/>
        <w:gridCol w:w="710"/>
        <w:gridCol w:w="10"/>
        <w:gridCol w:w="46"/>
        <w:gridCol w:w="26"/>
        <w:gridCol w:w="629"/>
        <w:gridCol w:w="10"/>
        <w:gridCol w:w="25"/>
        <w:gridCol w:w="31"/>
        <w:gridCol w:w="16"/>
        <w:gridCol w:w="3187"/>
        <w:gridCol w:w="26"/>
        <w:gridCol w:w="35"/>
        <w:gridCol w:w="27"/>
      </w:tblGrid>
      <w:tr w:rsidR="001E60BA" w:rsidTr="006C5571">
        <w:trPr>
          <w:gridAfter w:val="3"/>
          <w:wAfter w:w="88" w:type="dxa"/>
          <w:tblHeader/>
        </w:trPr>
        <w:tc>
          <w:tcPr>
            <w:tcW w:w="2637"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29"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997"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777" w:type="dxa"/>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6"/>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9"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6C5571">
        <w:trPr>
          <w:gridAfter w:val="2"/>
          <w:wAfter w:w="62" w:type="dxa"/>
        </w:trPr>
        <w:tc>
          <w:tcPr>
            <w:tcW w:w="15259" w:type="dxa"/>
            <w:gridSpan w:val="30"/>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6C5571">
        <w:trPr>
          <w:gridAfter w:val="3"/>
          <w:wAfter w:w="88" w:type="dxa"/>
        </w:trPr>
        <w:tc>
          <w:tcPr>
            <w:tcW w:w="2637"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9"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F50F60" w:rsidRPr="009E1B5C" w:rsidRDefault="002C7679" w:rsidP="00C12CBA">
            <w:pPr>
              <w:ind w:right="-119"/>
              <w:rPr>
                <w:sz w:val="24"/>
                <w:szCs w:val="24"/>
              </w:rPr>
            </w:pPr>
            <w:r>
              <w:rPr>
                <w:sz w:val="24"/>
                <w:szCs w:val="24"/>
              </w:rPr>
              <w:t>11684,7</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987" w:type="dxa"/>
            <w:gridSpan w:val="4"/>
            <w:tcBorders>
              <w:top w:val="single" w:sz="4" w:space="0" w:color="auto"/>
              <w:left w:val="single" w:sz="4" w:space="0" w:color="auto"/>
              <w:bottom w:val="single" w:sz="4" w:space="0" w:color="auto"/>
              <w:right w:val="single" w:sz="4" w:space="0" w:color="auto"/>
            </w:tcBorders>
          </w:tcPr>
          <w:p w:rsidR="00F50F60" w:rsidRPr="009E1B5C" w:rsidRDefault="006C5571" w:rsidP="002C7679">
            <w:pPr>
              <w:ind w:right="-106"/>
              <w:rPr>
                <w:sz w:val="24"/>
                <w:szCs w:val="24"/>
              </w:rPr>
            </w:pPr>
            <w:r>
              <w:rPr>
                <w:sz w:val="24"/>
                <w:szCs w:val="24"/>
              </w:rPr>
              <w:t>3873,0</w:t>
            </w:r>
          </w:p>
        </w:tc>
        <w:tc>
          <w:tcPr>
            <w:tcW w:w="777" w:type="dxa"/>
            <w:tcBorders>
              <w:top w:val="single" w:sz="4" w:space="0" w:color="auto"/>
              <w:left w:val="single" w:sz="4" w:space="0" w:color="auto"/>
              <w:bottom w:val="single" w:sz="4" w:space="0" w:color="auto"/>
              <w:right w:val="single" w:sz="4" w:space="0" w:color="auto"/>
            </w:tcBorders>
          </w:tcPr>
          <w:p w:rsidR="00F50F60" w:rsidRPr="009E1B5C" w:rsidRDefault="000F4D13" w:rsidP="00C12CBA">
            <w:pPr>
              <w:jc w:val="center"/>
              <w:rPr>
                <w:sz w:val="24"/>
                <w:szCs w:val="24"/>
              </w:rPr>
            </w:pPr>
            <w:r>
              <w:rPr>
                <w:sz w:val="24"/>
                <w:szCs w:val="24"/>
              </w:rPr>
              <w:t>54</w:t>
            </w:r>
            <w:r w:rsidR="00F50F60" w:rsidRPr="009E1B5C">
              <w:rPr>
                <w:sz w:val="24"/>
                <w:szCs w:val="24"/>
              </w:rPr>
              <w:t>0,0</w:t>
            </w:r>
          </w:p>
        </w:tc>
        <w:tc>
          <w:tcPr>
            <w:tcW w:w="829" w:type="dxa"/>
            <w:gridSpan w:val="5"/>
            <w:tcBorders>
              <w:top w:val="single" w:sz="4" w:space="0" w:color="auto"/>
              <w:left w:val="single" w:sz="4" w:space="0" w:color="auto"/>
              <w:bottom w:val="single" w:sz="4" w:space="0" w:color="auto"/>
              <w:right w:val="single" w:sz="4" w:space="0" w:color="auto"/>
            </w:tcBorders>
          </w:tcPr>
          <w:p w:rsidR="00F50F60" w:rsidRPr="009E1B5C" w:rsidRDefault="000F4D13" w:rsidP="000F4D13">
            <w:pPr>
              <w:rPr>
                <w:sz w:val="24"/>
                <w:szCs w:val="24"/>
              </w:rPr>
            </w:pPr>
            <w:r>
              <w:rPr>
                <w:sz w:val="24"/>
                <w:szCs w:val="24"/>
              </w:rPr>
              <w:t>54</w:t>
            </w:r>
            <w:r w:rsidR="00F50F60" w:rsidRPr="009E1B5C">
              <w:rPr>
                <w:sz w:val="24"/>
                <w:szCs w:val="24"/>
              </w:rPr>
              <w:t>0,0</w:t>
            </w:r>
          </w:p>
        </w:tc>
        <w:tc>
          <w:tcPr>
            <w:tcW w:w="722" w:type="dxa"/>
            <w:gridSpan w:val="2"/>
            <w:tcBorders>
              <w:top w:val="single" w:sz="4" w:space="0" w:color="auto"/>
              <w:left w:val="single" w:sz="4" w:space="0" w:color="auto"/>
              <w:bottom w:val="single" w:sz="4" w:space="0" w:color="auto"/>
              <w:right w:val="nil"/>
            </w:tcBorders>
          </w:tcPr>
          <w:p w:rsidR="00F50F60" w:rsidRPr="009E1B5C" w:rsidRDefault="000F4D13" w:rsidP="00C12CBA">
            <w:pPr>
              <w:ind w:right="-116"/>
              <w:rPr>
                <w:sz w:val="24"/>
                <w:szCs w:val="24"/>
              </w:rPr>
            </w:pPr>
            <w:r>
              <w:rPr>
                <w:sz w:val="24"/>
                <w:szCs w:val="24"/>
              </w:rPr>
              <w:t>54</w:t>
            </w:r>
            <w:r w:rsidR="00F50F60" w:rsidRPr="009E1B5C">
              <w:rPr>
                <w:sz w:val="24"/>
                <w:szCs w:val="24"/>
              </w:rPr>
              <w:t>0,0</w:t>
            </w:r>
          </w:p>
        </w:tc>
        <w:tc>
          <w:tcPr>
            <w:tcW w:w="711" w:type="dxa"/>
            <w:gridSpan w:val="4"/>
            <w:tcBorders>
              <w:top w:val="single" w:sz="4" w:space="0" w:color="auto"/>
              <w:left w:val="nil"/>
              <w:bottom w:val="single" w:sz="4" w:space="0" w:color="auto"/>
              <w:right w:val="single" w:sz="4" w:space="0" w:color="auto"/>
            </w:tcBorders>
          </w:tcPr>
          <w:p w:rsidR="00F50F60" w:rsidRPr="009E1B5C" w:rsidRDefault="000F4D13" w:rsidP="00C12CBA">
            <w:pPr>
              <w:ind w:right="-108"/>
              <w:rPr>
                <w:sz w:val="24"/>
                <w:szCs w:val="24"/>
              </w:rPr>
            </w:pPr>
            <w:r>
              <w:rPr>
                <w:sz w:val="24"/>
                <w:szCs w:val="24"/>
              </w:rPr>
              <w:t>54</w:t>
            </w:r>
            <w:r w:rsidR="00F50F60" w:rsidRPr="009E1B5C">
              <w:rPr>
                <w:sz w:val="24"/>
                <w:szCs w:val="24"/>
              </w:rPr>
              <w:t>0,0</w:t>
            </w:r>
          </w:p>
        </w:tc>
        <w:tc>
          <w:tcPr>
            <w:tcW w:w="3269" w:type="dxa"/>
            <w:gridSpan w:val="5"/>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2C7679" w:rsidRPr="009E1B5C" w:rsidTr="006C5571">
        <w:trPr>
          <w:gridAfter w:val="3"/>
          <w:wAfter w:w="88" w:type="dxa"/>
          <w:trHeight w:val="912"/>
        </w:trPr>
        <w:tc>
          <w:tcPr>
            <w:tcW w:w="2637"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29" w:type="dxa"/>
            <w:vMerge/>
            <w:tcBorders>
              <w:top w:val="nil"/>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в том числе:</w:t>
            </w:r>
          </w:p>
          <w:p w:rsidR="002C7679" w:rsidRPr="00017FB7" w:rsidRDefault="002C7679" w:rsidP="00C12CBA">
            <w:pPr>
              <w:autoSpaceDE w:val="0"/>
              <w:autoSpaceDN w:val="0"/>
              <w:adjustRightInd w:val="0"/>
              <w:rPr>
                <w:sz w:val="24"/>
                <w:szCs w:val="24"/>
              </w:rPr>
            </w:pPr>
            <w:r w:rsidRPr="00017FB7">
              <w:rPr>
                <w:sz w:val="24"/>
                <w:szCs w:val="24"/>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2C7679" w:rsidRPr="00793E5B" w:rsidRDefault="002C7679" w:rsidP="00793E5B">
            <w:pPr>
              <w:autoSpaceDE w:val="0"/>
              <w:autoSpaceDN w:val="0"/>
              <w:adjustRightInd w:val="0"/>
              <w:ind w:right="-108"/>
              <w:rPr>
                <w:sz w:val="24"/>
                <w:szCs w:val="24"/>
              </w:rPr>
            </w:pPr>
            <w:r>
              <w:rPr>
                <w:sz w:val="24"/>
                <w:szCs w:val="24"/>
              </w:rPr>
              <w:t>1522,6</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C12CBA">
            <w:pPr>
              <w:autoSpaceDE w:val="0"/>
              <w:autoSpaceDN w:val="0"/>
              <w:adjustRightInd w:val="0"/>
              <w:ind w:right="-108"/>
              <w:rPr>
                <w:sz w:val="24"/>
                <w:szCs w:val="24"/>
              </w:rPr>
            </w:pPr>
            <w:r>
              <w:rPr>
                <w:sz w:val="24"/>
                <w:szCs w:val="24"/>
              </w:rPr>
              <w:t>871,0</w:t>
            </w:r>
          </w:p>
        </w:tc>
        <w:tc>
          <w:tcPr>
            <w:tcW w:w="987" w:type="dxa"/>
            <w:gridSpan w:val="4"/>
            <w:tcBorders>
              <w:top w:val="nil"/>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2C7679" w:rsidP="005B027C">
            <w:pPr>
              <w:autoSpaceDE w:val="0"/>
              <w:autoSpaceDN w:val="0"/>
              <w:adjustRightInd w:val="0"/>
              <w:ind w:left="-108" w:right="-108"/>
              <w:jc w:val="center"/>
              <w:rPr>
                <w:sz w:val="24"/>
                <w:szCs w:val="24"/>
              </w:rPr>
            </w:pPr>
            <w:r w:rsidRPr="002C7679">
              <w:rPr>
                <w:sz w:val="24"/>
                <w:szCs w:val="24"/>
              </w:rPr>
              <w:t>651,6</w:t>
            </w:r>
          </w:p>
          <w:p w:rsidR="002C7679" w:rsidRPr="002C7679" w:rsidRDefault="002C7679" w:rsidP="002C7679">
            <w:pPr>
              <w:autoSpaceDE w:val="0"/>
              <w:autoSpaceDN w:val="0"/>
              <w:adjustRightInd w:val="0"/>
              <w:ind w:left="-108" w:right="-108"/>
              <w:jc w:val="center"/>
              <w:rPr>
                <w:sz w:val="24"/>
                <w:szCs w:val="24"/>
              </w:rPr>
            </w:pPr>
          </w:p>
        </w:tc>
        <w:tc>
          <w:tcPr>
            <w:tcW w:w="3039" w:type="dxa"/>
            <w:gridSpan w:val="12"/>
            <w:tcBorders>
              <w:top w:val="nil"/>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C12CBA">
            <w:pPr>
              <w:autoSpaceDE w:val="0"/>
              <w:autoSpaceDN w:val="0"/>
              <w:adjustRightInd w:val="0"/>
              <w:ind w:right="-108"/>
              <w:rPr>
                <w:sz w:val="24"/>
                <w:szCs w:val="24"/>
              </w:rPr>
            </w:pPr>
          </w:p>
        </w:tc>
        <w:tc>
          <w:tcPr>
            <w:tcW w:w="3269" w:type="dxa"/>
            <w:gridSpan w:val="5"/>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2C7679" w:rsidRPr="009E1B5C" w:rsidTr="006C5571">
        <w:trPr>
          <w:gridAfter w:val="3"/>
          <w:wAfter w:w="88" w:type="dxa"/>
          <w:trHeight w:val="708"/>
        </w:trPr>
        <w:tc>
          <w:tcPr>
            <w:tcW w:w="2637"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2C7679" w:rsidRPr="00793E5B" w:rsidRDefault="002C7679" w:rsidP="00C12CBA">
            <w:pPr>
              <w:autoSpaceDE w:val="0"/>
              <w:autoSpaceDN w:val="0"/>
              <w:adjustRightInd w:val="0"/>
              <w:ind w:right="-108"/>
              <w:rPr>
                <w:sz w:val="24"/>
                <w:szCs w:val="24"/>
              </w:rPr>
            </w:pPr>
            <w:r>
              <w:rPr>
                <w:sz w:val="24"/>
                <w:szCs w:val="24"/>
              </w:rPr>
              <w:t>4693,0</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5B027C">
            <w:pPr>
              <w:autoSpaceDE w:val="0"/>
              <w:autoSpaceDN w:val="0"/>
              <w:adjustRightInd w:val="0"/>
              <w:ind w:right="-108"/>
              <w:rPr>
                <w:sz w:val="24"/>
                <w:szCs w:val="24"/>
              </w:rPr>
            </w:pPr>
            <w:r>
              <w:rPr>
                <w:sz w:val="24"/>
                <w:szCs w:val="24"/>
              </w:rPr>
              <w:t>1895,4</w:t>
            </w:r>
          </w:p>
        </w:tc>
        <w:tc>
          <w:tcPr>
            <w:tcW w:w="987" w:type="dxa"/>
            <w:gridSpan w:val="4"/>
            <w:tcBorders>
              <w:top w:val="single" w:sz="4" w:space="0" w:color="auto"/>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2C7679" w:rsidP="002C7679">
            <w:pPr>
              <w:autoSpaceDE w:val="0"/>
              <w:autoSpaceDN w:val="0"/>
              <w:adjustRightInd w:val="0"/>
              <w:ind w:left="-108" w:right="-108"/>
              <w:jc w:val="center"/>
              <w:rPr>
                <w:sz w:val="24"/>
                <w:szCs w:val="24"/>
              </w:rPr>
            </w:pPr>
            <w:r w:rsidRPr="002C7679">
              <w:rPr>
                <w:sz w:val="24"/>
                <w:szCs w:val="24"/>
              </w:rPr>
              <w:t>2797,6</w:t>
            </w:r>
          </w:p>
        </w:tc>
        <w:tc>
          <w:tcPr>
            <w:tcW w:w="3039" w:type="dxa"/>
            <w:gridSpan w:val="12"/>
            <w:tcBorders>
              <w:top w:val="single" w:sz="4" w:space="0" w:color="auto"/>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793E5B">
            <w:pPr>
              <w:autoSpaceDE w:val="0"/>
              <w:autoSpaceDN w:val="0"/>
              <w:adjustRightInd w:val="0"/>
              <w:ind w:left="408" w:right="-108"/>
              <w:rPr>
                <w:b/>
                <w:sz w:val="24"/>
                <w:szCs w:val="24"/>
              </w:rPr>
            </w:pPr>
          </w:p>
        </w:tc>
        <w:tc>
          <w:tcPr>
            <w:tcW w:w="3269" w:type="dxa"/>
            <w:gridSpan w:val="5"/>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0F4D13" w:rsidRPr="009E1B5C" w:rsidTr="006C5571">
        <w:trPr>
          <w:gridAfter w:val="3"/>
          <w:wAfter w:w="88" w:type="dxa"/>
          <w:trHeight w:val="567"/>
        </w:trPr>
        <w:tc>
          <w:tcPr>
            <w:tcW w:w="2637" w:type="dxa"/>
            <w:vMerge/>
            <w:tcBorders>
              <w:top w:val="nil"/>
              <w:left w:val="nil"/>
              <w:bottom w:val="nil"/>
              <w:right w:val="single" w:sz="4" w:space="0" w:color="auto"/>
            </w:tcBorders>
            <w:vAlign w:val="center"/>
          </w:tcPr>
          <w:p w:rsidR="000F4D13" w:rsidRDefault="000F4D13" w:rsidP="00C12CBA">
            <w:pPr>
              <w:rPr>
                <w:sz w:val="22"/>
                <w:szCs w:val="22"/>
                <w:highlight w:val="yellow"/>
              </w:rPr>
            </w:pPr>
          </w:p>
        </w:tc>
        <w:tc>
          <w:tcPr>
            <w:tcW w:w="1829" w:type="dxa"/>
            <w:vMerge/>
            <w:tcBorders>
              <w:top w:val="nil"/>
              <w:left w:val="single" w:sz="4" w:space="0" w:color="auto"/>
              <w:bottom w:val="single" w:sz="4" w:space="0" w:color="auto"/>
              <w:right w:val="single" w:sz="4" w:space="0" w:color="auto"/>
            </w:tcBorders>
            <w:vAlign w:val="center"/>
          </w:tcPr>
          <w:p w:rsidR="000F4D13" w:rsidRPr="00017FB7" w:rsidRDefault="000F4D13"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0F4D13" w:rsidRPr="00017FB7" w:rsidRDefault="000F4D13" w:rsidP="00C12CBA">
            <w:pPr>
              <w:autoSpaceDE w:val="0"/>
              <w:autoSpaceDN w:val="0"/>
              <w:adjustRightInd w:val="0"/>
              <w:rPr>
                <w:sz w:val="24"/>
                <w:szCs w:val="24"/>
              </w:rPr>
            </w:pPr>
            <w:r w:rsidRPr="00017FB7">
              <w:rPr>
                <w:spacing w:val="-6"/>
                <w:sz w:val="24"/>
                <w:szCs w:val="24"/>
              </w:rPr>
              <w:t xml:space="preserve">районный бюджет  </w:t>
            </w:r>
          </w:p>
        </w:tc>
        <w:tc>
          <w:tcPr>
            <w:tcW w:w="1001" w:type="dxa"/>
            <w:tcBorders>
              <w:top w:val="single" w:sz="4" w:space="0" w:color="auto"/>
              <w:left w:val="single" w:sz="4" w:space="0" w:color="auto"/>
              <w:bottom w:val="single" w:sz="4" w:space="0" w:color="auto"/>
              <w:right w:val="single" w:sz="4" w:space="0" w:color="auto"/>
            </w:tcBorders>
          </w:tcPr>
          <w:p w:rsidR="000F4D13" w:rsidRPr="009E1B5C" w:rsidRDefault="000F4D13" w:rsidP="00C12CBA">
            <w:pPr>
              <w:rPr>
                <w:sz w:val="24"/>
                <w:szCs w:val="24"/>
              </w:rPr>
            </w:pPr>
            <w:r w:rsidRPr="009E1B5C">
              <w:rPr>
                <w:sz w:val="24"/>
                <w:szCs w:val="24"/>
              </w:rPr>
              <w:t>2160,0</w:t>
            </w:r>
          </w:p>
        </w:tc>
        <w:tc>
          <w:tcPr>
            <w:tcW w:w="832" w:type="dxa"/>
            <w:gridSpan w:val="2"/>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2"/>
              <w:rPr>
                <w:sz w:val="24"/>
                <w:szCs w:val="24"/>
              </w:rPr>
            </w:pPr>
            <w:r w:rsidRPr="009E1B5C">
              <w:rPr>
                <w:sz w:val="24"/>
                <w:szCs w:val="24"/>
              </w:rPr>
              <w:t>360,0</w:t>
            </w:r>
          </w:p>
        </w:tc>
        <w:tc>
          <w:tcPr>
            <w:tcW w:w="1023" w:type="dxa"/>
            <w:gridSpan w:val="6"/>
            <w:tcBorders>
              <w:top w:val="single" w:sz="4" w:space="0" w:color="auto"/>
              <w:left w:val="single" w:sz="4" w:space="0" w:color="auto"/>
              <w:bottom w:val="single" w:sz="4" w:space="0" w:color="auto"/>
              <w:right w:val="single" w:sz="4" w:space="0" w:color="auto"/>
            </w:tcBorders>
          </w:tcPr>
          <w:p w:rsidR="000F4D13" w:rsidRPr="009E1B5C" w:rsidRDefault="006C5571" w:rsidP="00C12CBA">
            <w:pPr>
              <w:rPr>
                <w:sz w:val="24"/>
                <w:szCs w:val="24"/>
              </w:rPr>
            </w:pPr>
            <w:r>
              <w:rPr>
                <w:sz w:val="24"/>
                <w:szCs w:val="24"/>
              </w:rPr>
              <w:t>423,8</w:t>
            </w:r>
          </w:p>
        </w:tc>
        <w:tc>
          <w:tcPr>
            <w:tcW w:w="777" w:type="dxa"/>
            <w:tcBorders>
              <w:top w:val="single" w:sz="4" w:space="0" w:color="auto"/>
              <w:left w:val="single" w:sz="4" w:space="0" w:color="auto"/>
              <w:bottom w:val="single" w:sz="4" w:space="0" w:color="auto"/>
              <w:right w:val="single" w:sz="4" w:space="0" w:color="auto"/>
            </w:tcBorders>
          </w:tcPr>
          <w:p w:rsidR="000F4D13" w:rsidRDefault="000F4D13">
            <w:r w:rsidRPr="00232AA8">
              <w:rPr>
                <w:sz w:val="24"/>
                <w:szCs w:val="24"/>
              </w:rPr>
              <w:t>540,0</w:t>
            </w:r>
          </w:p>
        </w:tc>
        <w:tc>
          <w:tcPr>
            <w:tcW w:w="841" w:type="dxa"/>
            <w:gridSpan w:val="6"/>
            <w:tcBorders>
              <w:top w:val="single" w:sz="4" w:space="0" w:color="auto"/>
              <w:left w:val="single" w:sz="4" w:space="0" w:color="auto"/>
              <w:bottom w:val="single" w:sz="4" w:space="0" w:color="auto"/>
              <w:right w:val="single" w:sz="4" w:space="0" w:color="auto"/>
            </w:tcBorders>
          </w:tcPr>
          <w:p w:rsidR="000F4D13" w:rsidRDefault="000F4D13">
            <w:r w:rsidRPr="00232AA8">
              <w:rPr>
                <w:sz w:val="24"/>
                <w:szCs w:val="24"/>
              </w:rPr>
              <w:t>540,0</w:t>
            </w:r>
          </w:p>
        </w:tc>
        <w:tc>
          <w:tcPr>
            <w:tcW w:w="710" w:type="dxa"/>
            <w:tcBorders>
              <w:top w:val="single" w:sz="4" w:space="0" w:color="auto"/>
              <w:left w:val="single" w:sz="4" w:space="0" w:color="auto"/>
              <w:bottom w:val="single" w:sz="4" w:space="0" w:color="auto"/>
              <w:right w:val="single" w:sz="4" w:space="0" w:color="auto"/>
            </w:tcBorders>
          </w:tcPr>
          <w:p w:rsidR="000F4D13" w:rsidRDefault="000F4D13" w:rsidP="000F4D13">
            <w:pPr>
              <w:ind w:right="-132"/>
            </w:pPr>
            <w:r w:rsidRPr="00232AA8">
              <w:rPr>
                <w:sz w:val="24"/>
                <w:szCs w:val="24"/>
              </w:rPr>
              <w:t>540,0</w:t>
            </w:r>
          </w:p>
        </w:tc>
        <w:tc>
          <w:tcPr>
            <w:tcW w:w="711" w:type="dxa"/>
            <w:gridSpan w:val="4"/>
            <w:tcBorders>
              <w:top w:val="single" w:sz="4" w:space="0" w:color="auto"/>
              <w:left w:val="single" w:sz="4" w:space="0" w:color="auto"/>
              <w:bottom w:val="single" w:sz="4" w:space="0" w:color="auto"/>
              <w:right w:val="single" w:sz="4" w:space="0" w:color="auto"/>
            </w:tcBorders>
          </w:tcPr>
          <w:p w:rsidR="000F4D13" w:rsidRDefault="000F4D13" w:rsidP="000F4D13">
            <w:pPr>
              <w:ind w:right="-130"/>
            </w:pPr>
            <w:r w:rsidRPr="00232AA8">
              <w:rPr>
                <w:sz w:val="24"/>
                <w:szCs w:val="24"/>
              </w:rPr>
              <w:t>540,0</w:t>
            </w:r>
          </w:p>
        </w:tc>
        <w:tc>
          <w:tcPr>
            <w:tcW w:w="3269" w:type="dxa"/>
            <w:gridSpan w:val="5"/>
            <w:tcBorders>
              <w:top w:val="nil"/>
              <w:left w:val="single" w:sz="4" w:space="0" w:color="auto"/>
              <w:bottom w:val="single" w:sz="4" w:space="0" w:color="auto"/>
              <w:right w:val="single" w:sz="4" w:space="0" w:color="auto"/>
            </w:tcBorders>
            <w:vAlign w:val="center"/>
          </w:tcPr>
          <w:p w:rsidR="000F4D13" w:rsidRPr="009E1B5C" w:rsidRDefault="000F4D13" w:rsidP="00C12CBA">
            <w:pPr>
              <w:jc w:val="both"/>
              <w:rPr>
                <w:sz w:val="22"/>
                <w:szCs w:val="22"/>
              </w:rPr>
            </w:pPr>
          </w:p>
        </w:tc>
      </w:tr>
      <w:tr w:rsidR="006C5571" w:rsidRPr="009E1B5C" w:rsidTr="006C5571">
        <w:trPr>
          <w:gridAfter w:val="3"/>
          <w:wAfter w:w="88" w:type="dxa"/>
        </w:trPr>
        <w:tc>
          <w:tcPr>
            <w:tcW w:w="2637" w:type="dxa"/>
            <w:vMerge/>
            <w:tcBorders>
              <w:top w:val="nil"/>
              <w:left w:val="nil"/>
              <w:bottom w:val="single" w:sz="4" w:space="0" w:color="auto"/>
              <w:right w:val="single" w:sz="4" w:space="0" w:color="auto"/>
            </w:tcBorders>
            <w:vAlign w:val="center"/>
          </w:tcPr>
          <w:p w:rsidR="006C5571" w:rsidRDefault="006C5571" w:rsidP="00C12CBA">
            <w:pPr>
              <w:rPr>
                <w:sz w:val="22"/>
                <w:szCs w:val="22"/>
              </w:rPr>
            </w:pPr>
          </w:p>
        </w:tc>
        <w:tc>
          <w:tcPr>
            <w:tcW w:w="1829" w:type="dxa"/>
            <w:vMerge/>
            <w:tcBorders>
              <w:top w:val="nil"/>
              <w:left w:val="single" w:sz="4" w:space="0" w:color="auto"/>
              <w:bottom w:val="single" w:sz="4" w:space="0" w:color="auto"/>
              <w:right w:val="single" w:sz="4" w:space="0" w:color="auto"/>
            </w:tcBorders>
            <w:vAlign w:val="center"/>
          </w:tcPr>
          <w:p w:rsidR="006C5571" w:rsidRPr="00017FB7" w:rsidRDefault="006C5571"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C5571" w:rsidRPr="00017FB7" w:rsidRDefault="006C5571" w:rsidP="00C12CB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1" w:type="dxa"/>
            <w:tcBorders>
              <w:top w:val="nil"/>
              <w:left w:val="single" w:sz="4" w:space="0" w:color="auto"/>
              <w:bottom w:val="nil"/>
              <w:right w:val="single" w:sz="4" w:space="0" w:color="auto"/>
            </w:tcBorders>
          </w:tcPr>
          <w:p w:rsidR="006C5571" w:rsidRPr="009E1B5C" w:rsidRDefault="006C5571" w:rsidP="00210F2F">
            <w:pPr>
              <w:ind w:right="-93"/>
              <w:jc w:val="center"/>
              <w:rPr>
                <w:sz w:val="24"/>
                <w:szCs w:val="24"/>
              </w:rPr>
            </w:pPr>
            <w:r>
              <w:rPr>
                <w:sz w:val="24"/>
                <w:szCs w:val="24"/>
              </w:rPr>
              <w:t>3309,1</w:t>
            </w:r>
          </w:p>
        </w:tc>
        <w:tc>
          <w:tcPr>
            <w:tcW w:w="825" w:type="dxa"/>
            <w:tcBorders>
              <w:top w:val="nil"/>
              <w:left w:val="single" w:sz="4" w:space="0" w:color="auto"/>
              <w:bottom w:val="nil"/>
              <w:right w:val="single" w:sz="4" w:space="0" w:color="auto"/>
            </w:tcBorders>
          </w:tcPr>
          <w:p w:rsidR="006C5571" w:rsidRPr="009E1B5C" w:rsidRDefault="006C5571" w:rsidP="00210F2F">
            <w:pPr>
              <w:ind w:right="-118"/>
              <w:jc w:val="center"/>
              <w:rPr>
                <w:sz w:val="24"/>
                <w:szCs w:val="24"/>
              </w:rPr>
            </w:pPr>
            <w:r>
              <w:rPr>
                <w:sz w:val="24"/>
                <w:szCs w:val="24"/>
              </w:rPr>
              <w:t>3309,1</w:t>
            </w:r>
          </w:p>
        </w:tc>
        <w:tc>
          <w:tcPr>
            <w:tcW w:w="895" w:type="dxa"/>
            <w:gridSpan w:val="6"/>
            <w:tcBorders>
              <w:top w:val="nil"/>
              <w:left w:val="single" w:sz="4" w:space="0" w:color="auto"/>
              <w:bottom w:val="nil"/>
              <w:right w:val="single" w:sz="4" w:space="0" w:color="auto"/>
            </w:tcBorders>
          </w:tcPr>
          <w:p w:rsidR="006C5571" w:rsidRPr="009E1B5C" w:rsidRDefault="006C5571" w:rsidP="00210F2F">
            <w:pPr>
              <w:ind w:left="12"/>
              <w:jc w:val="center"/>
              <w:rPr>
                <w:sz w:val="24"/>
                <w:szCs w:val="24"/>
              </w:rPr>
            </w:pPr>
          </w:p>
        </w:tc>
        <w:tc>
          <w:tcPr>
            <w:tcW w:w="3184" w:type="dxa"/>
            <w:gridSpan w:val="14"/>
            <w:tcBorders>
              <w:top w:val="nil"/>
              <w:left w:val="single" w:sz="4" w:space="0" w:color="auto"/>
              <w:bottom w:val="nil"/>
              <w:right w:val="single" w:sz="4" w:space="0" w:color="auto"/>
            </w:tcBorders>
          </w:tcPr>
          <w:p w:rsidR="006C5571" w:rsidRPr="009E1B5C" w:rsidRDefault="006C5571" w:rsidP="00210F2F">
            <w:pPr>
              <w:ind w:left="12"/>
              <w:jc w:val="center"/>
              <w:rPr>
                <w:sz w:val="24"/>
                <w:szCs w:val="24"/>
              </w:rPr>
            </w:pPr>
            <w:r w:rsidRPr="009E1B5C">
              <w:rPr>
                <w:b/>
                <w:sz w:val="24"/>
                <w:szCs w:val="24"/>
              </w:rPr>
              <w:t>по итогам распределения средств</w:t>
            </w:r>
          </w:p>
        </w:tc>
        <w:tc>
          <w:tcPr>
            <w:tcW w:w="3259" w:type="dxa"/>
            <w:gridSpan w:val="4"/>
            <w:tcBorders>
              <w:top w:val="nil"/>
              <w:left w:val="single" w:sz="4" w:space="0" w:color="auto"/>
              <w:bottom w:val="single" w:sz="4" w:space="0" w:color="auto"/>
              <w:right w:val="single" w:sz="4" w:space="0" w:color="auto"/>
            </w:tcBorders>
            <w:vAlign w:val="center"/>
          </w:tcPr>
          <w:p w:rsidR="006C5571" w:rsidRPr="009E1B5C" w:rsidRDefault="006C5571" w:rsidP="00C12CBA">
            <w:pPr>
              <w:rPr>
                <w:sz w:val="22"/>
                <w:szCs w:val="22"/>
              </w:rPr>
            </w:pPr>
          </w:p>
        </w:tc>
      </w:tr>
      <w:tr w:rsidR="000F4D13" w:rsidRPr="009E1B5C" w:rsidTr="006C5571">
        <w:trPr>
          <w:trHeight w:val="411"/>
        </w:trPr>
        <w:tc>
          <w:tcPr>
            <w:tcW w:w="4466" w:type="dxa"/>
            <w:gridSpan w:val="2"/>
            <w:vMerge w:val="restart"/>
            <w:tcBorders>
              <w:top w:val="single" w:sz="4" w:space="0" w:color="auto"/>
              <w:left w:val="single" w:sz="4" w:space="0" w:color="auto"/>
              <w:right w:val="single" w:sz="4" w:space="0" w:color="auto"/>
            </w:tcBorders>
          </w:tcPr>
          <w:p w:rsidR="000F4D13" w:rsidRPr="00F50F60" w:rsidRDefault="000F4D13" w:rsidP="00C12CBA">
            <w:pPr>
              <w:autoSpaceDE w:val="0"/>
              <w:autoSpaceDN w:val="0"/>
              <w:adjustRightInd w:val="0"/>
              <w:rPr>
                <w:sz w:val="24"/>
                <w:szCs w:val="24"/>
              </w:rPr>
            </w:pPr>
          </w:p>
          <w:p w:rsidR="000F4D13" w:rsidRPr="00F50F60" w:rsidRDefault="000F4D13" w:rsidP="00C12CBA">
            <w:pPr>
              <w:autoSpaceDE w:val="0"/>
              <w:autoSpaceDN w:val="0"/>
              <w:adjustRightInd w:val="0"/>
              <w:rPr>
                <w:sz w:val="24"/>
                <w:szCs w:val="24"/>
              </w:rPr>
            </w:pPr>
          </w:p>
          <w:p w:rsidR="000F4D13" w:rsidRPr="00F50F60" w:rsidRDefault="000F4D13" w:rsidP="00C12CBA">
            <w:pPr>
              <w:autoSpaceDE w:val="0"/>
              <w:autoSpaceDN w:val="0"/>
              <w:adjustRightInd w:val="0"/>
              <w:rPr>
                <w:sz w:val="24"/>
                <w:szCs w:val="24"/>
              </w:rPr>
            </w:pPr>
            <w:r w:rsidRPr="00F50F60">
              <w:rPr>
                <w:sz w:val="24"/>
                <w:szCs w:val="24"/>
              </w:rPr>
              <w:lastRenderedPageBreak/>
              <w:t>Всего по муниципальной программе</w:t>
            </w:r>
          </w:p>
          <w:p w:rsidR="000F4D13" w:rsidRPr="00F50F60" w:rsidRDefault="000F4D13"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0F4D13" w:rsidRPr="00F50F60" w:rsidRDefault="000F4D13" w:rsidP="00C12CBA">
            <w:pPr>
              <w:autoSpaceDE w:val="0"/>
              <w:autoSpaceDN w:val="0"/>
              <w:adjustRightInd w:val="0"/>
              <w:rPr>
                <w:sz w:val="24"/>
                <w:szCs w:val="24"/>
              </w:rPr>
            </w:pPr>
          </w:p>
          <w:p w:rsidR="000F4D13" w:rsidRPr="00F50F60" w:rsidRDefault="000F4D13" w:rsidP="00C12CBA">
            <w:pPr>
              <w:autoSpaceDE w:val="0"/>
              <w:autoSpaceDN w:val="0"/>
              <w:adjustRightInd w:val="0"/>
              <w:rPr>
                <w:sz w:val="24"/>
                <w:szCs w:val="24"/>
              </w:rPr>
            </w:pPr>
            <w:r w:rsidRPr="00F50F60">
              <w:rPr>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08" w:right="-120"/>
              <w:jc w:val="center"/>
              <w:rPr>
                <w:color w:val="000000"/>
                <w:sz w:val="24"/>
                <w:szCs w:val="24"/>
              </w:rPr>
            </w:pPr>
            <w:r>
              <w:rPr>
                <w:sz w:val="24"/>
                <w:szCs w:val="24"/>
              </w:rPr>
              <w:t>11684,7</w:t>
            </w:r>
          </w:p>
        </w:tc>
        <w:tc>
          <w:tcPr>
            <w:tcW w:w="904" w:type="dxa"/>
            <w:gridSpan w:val="5"/>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08" w:right="-120"/>
              <w:jc w:val="center"/>
              <w:rPr>
                <w:color w:val="000000"/>
                <w:sz w:val="24"/>
                <w:szCs w:val="24"/>
              </w:rPr>
            </w:pPr>
            <w:r>
              <w:rPr>
                <w:color w:val="000000"/>
                <w:sz w:val="24"/>
                <w:szCs w:val="24"/>
              </w:rPr>
              <w:t>4466,3</w:t>
            </w:r>
          </w:p>
        </w:tc>
        <w:tc>
          <w:tcPr>
            <w:tcW w:w="816" w:type="dxa"/>
            <w:gridSpan w:val="2"/>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08" w:right="-120"/>
              <w:jc w:val="center"/>
              <w:rPr>
                <w:color w:val="000000"/>
                <w:sz w:val="24"/>
                <w:szCs w:val="24"/>
              </w:rPr>
            </w:pPr>
            <w:r>
              <w:rPr>
                <w:sz w:val="24"/>
                <w:szCs w:val="24"/>
              </w:rPr>
              <w:t>3809,2</w:t>
            </w:r>
          </w:p>
        </w:tc>
        <w:tc>
          <w:tcPr>
            <w:tcW w:w="994" w:type="dxa"/>
            <w:gridSpan w:val="3"/>
            <w:tcBorders>
              <w:top w:val="single" w:sz="4" w:space="0" w:color="auto"/>
              <w:left w:val="single" w:sz="4" w:space="0" w:color="auto"/>
              <w:bottom w:val="single" w:sz="4" w:space="0" w:color="auto"/>
              <w:right w:val="single" w:sz="4" w:space="0" w:color="auto"/>
            </w:tcBorders>
          </w:tcPr>
          <w:p w:rsidR="000F4D13" w:rsidRDefault="000F4D13">
            <w:r w:rsidRPr="00FD2C35">
              <w:rPr>
                <w:sz w:val="24"/>
                <w:szCs w:val="24"/>
              </w:rPr>
              <w:t>540,0</w:t>
            </w:r>
          </w:p>
        </w:tc>
        <w:tc>
          <w:tcPr>
            <w:tcW w:w="709" w:type="dxa"/>
            <w:gridSpan w:val="3"/>
            <w:tcBorders>
              <w:top w:val="single" w:sz="4" w:space="0" w:color="auto"/>
              <w:left w:val="single" w:sz="4" w:space="0" w:color="auto"/>
              <w:bottom w:val="single" w:sz="4" w:space="0" w:color="auto"/>
              <w:right w:val="single" w:sz="4" w:space="0" w:color="auto"/>
            </w:tcBorders>
          </w:tcPr>
          <w:p w:rsidR="000F4D13" w:rsidRDefault="000F4D13" w:rsidP="000F4D13">
            <w:pPr>
              <w:ind w:right="-48"/>
            </w:pPr>
            <w:r w:rsidRPr="00FD2C35">
              <w:rPr>
                <w:sz w:val="24"/>
                <w:szCs w:val="24"/>
              </w:rPr>
              <w:t>540,0</w:t>
            </w:r>
          </w:p>
        </w:tc>
        <w:tc>
          <w:tcPr>
            <w:tcW w:w="842" w:type="dxa"/>
            <w:gridSpan w:val="6"/>
            <w:tcBorders>
              <w:top w:val="single" w:sz="4" w:space="0" w:color="auto"/>
              <w:left w:val="single" w:sz="4" w:space="0" w:color="auto"/>
              <w:bottom w:val="single" w:sz="4" w:space="0" w:color="auto"/>
              <w:right w:val="single" w:sz="4" w:space="0" w:color="auto"/>
            </w:tcBorders>
          </w:tcPr>
          <w:p w:rsidR="000F4D13" w:rsidRDefault="000F4D13">
            <w:r w:rsidRPr="00FD2C35">
              <w:rPr>
                <w:sz w:val="24"/>
                <w:szCs w:val="24"/>
              </w:rPr>
              <w:t>540,0</w:t>
            </w:r>
          </w:p>
        </w:tc>
        <w:tc>
          <w:tcPr>
            <w:tcW w:w="711" w:type="dxa"/>
            <w:gridSpan w:val="5"/>
            <w:tcBorders>
              <w:top w:val="single" w:sz="4" w:space="0" w:color="auto"/>
              <w:left w:val="single" w:sz="4" w:space="0" w:color="auto"/>
              <w:bottom w:val="single" w:sz="4" w:space="0" w:color="auto"/>
              <w:right w:val="single" w:sz="4" w:space="0" w:color="auto"/>
            </w:tcBorders>
          </w:tcPr>
          <w:p w:rsidR="000F4D13" w:rsidRDefault="000F4D13" w:rsidP="000F4D13">
            <w:pPr>
              <w:ind w:right="-54"/>
            </w:pPr>
            <w:r w:rsidRPr="00FD2C35">
              <w:rPr>
                <w:sz w:val="24"/>
                <w:szCs w:val="24"/>
              </w:rPr>
              <w:t>540,0</w:t>
            </w:r>
          </w:p>
        </w:tc>
        <w:tc>
          <w:tcPr>
            <w:tcW w:w="3275" w:type="dxa"/>
            <w:gridSpan w:val="4"/>
            <w:tcBorders>
              <w:top w:val="single" w:sz="4" w:space="0" w:color="auto"/>
              <w:left w:val="single" w:sz="4" w:space="0" w:color="auto"/>
              <w:bottom w:val="nil"/>
              <w:right w:val="nil"/>
            </w:tcBorders>
          </w:tcPr>
          <w:p w:rsidR="000F4D13" w:rsidRPr="009E1B5C" w:rsidRDefault="000F4D13" w:rsidP="00C12CBA">
            <w:pPr>
              <w:ind w:right="-57"/>
              <w:rPr>
                <w:bCs/>
                <w:sz w:val="24"/>
                <w:szCs w:val="24"/>
              </w:rPr>
            </w:pPr>
          </w:p>
        </w:tc>
      </w:tr>
      <w:tr w:rsidR="00793E5B" w:rsidRPr="009E1B5C" w:rsidTr="006C5571">
        <w:trPr>
          <w:trHeight w:val="415"/>
        </w:trPr>
        <w:tc>
          <w:tcPr>
            <w:tcW w:w="4466" w:type="dxa"/>
            <w:gridSpan w:val="2"/>
            <w:vMerge/>
            <w:tcBorders>
              <w:left w:val="single" w:sz="4" w:space="0" w:color="auto"/>
              <w:right w:val="single" w:sz="4" w:space="0" w:color="auto"/>
            </w:tcBorders>
            <w:vAlign w:val="center"/>
          </w:tcPr>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r w:rsidRPr="00F50F60">
              <w:rPr>
                <w:sz w:val="24"/>
                <w:szCs w:val="24"/>
              </w:rPr>
              <w:t>в том числе:</w:t>
            </w:r>
          </w:p>
        </w:tc>
        <w:tc>
          <w:tcPr>
            <w:tcW w:w="1001" w:type="dxa"/>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04" w:type="dxa"/>
            <w:gridSpan w:val="5"/>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816" w:type="dxa"/>
            <w:gridSpan w:val="2"/>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842" w:type="dxa"/>
            <w:gridSpan w:val="6"/>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11" w:type="dxa"/>
            <w:gridSpan w:val="5"/>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3275" w:type="dxa"/>
            <w:gridSpan w:val="4"/>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r w:rsidR="003C31DE" w:rsidRPr="009E1B5C" w:rsidTr="006C5571">
        <w:trPr>
          <w:trHeight w:val="636"/>
        </w:trPr>
        <w:tc>
          <w:tcPr>
            <w:tcW w:w="4466" w:type="dxa"/>
            <w:gridSpan w:val="2"/>
            <w:vMerge/>
            <w:tcBorders>
              <w:left w:val="single" w:sz="4" w:space="0" w:color="auto"/>
              <w:right w:val="single" w:sz="4" w:space="0" w:color="auto"/>
            </w:tcBorders>
            <w:vAlign w:val="center"/>
          </w:tcPr>
          <w:p w:rsidR="003C31DE" w:rsidRPr="00F50F60" w:rsidRDefault="003C31DE"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3C31DE" w:rsidRPr="00B046CC" w:rsidRDefault="003C31DE" w:rsidP="00C12CBA">
            <w:pPr>
              <w:autoSpaceDE w:val="0"/>
              <w:autoSpaceDN w:val="0"/>
              <w:adjustRightInd w:val="0"/>
              <w:rPr>
                <w:sz w:val="24"/>
                <w:szCs w:val="24"/>
              </w:rPr>
            </w:pPr>
            <w:r w:rsidRPr="00B046CC">
              <w:rPr>
                <w:spacing w:val="-6"/>
                <w:sz w:val="24"/>
                <w:szCs w:val="24"/>
              </w:rPr>
              <w:t xml:space="preserve">федеральный бюджет </w:t>
            </w:r>
          </w:p>
        </w:tc>
        <w:tc>
          <w:tcPr>
            <w:tcW w:w="1001" w:type="dxa"/>
            <w:tcBorders>
              <w:top w:val="single" w:sz="4" w:space="0" w:color="auto"/>
              <w:left w:val="single" w:sz="4" w:space="0" w:color="auto"/>
              <w:bottom w:val="single" w:sz="4" w:space="0" w:color="auto"/>
              <w:right w:val="single" w:sz="4" w:space="0" w:color="auto"/>
            </w:tcBorders>
          </w:tcPr>
          <w:p w:rsidR="003C31DE" w:rsidRPr="00793E5B" w:rsidRDefault="003C31DE" w:rsidP="00537906">
            <w:pPr>
              <w:autoSpaceDE w:val="0"/>
              <w:autoSpaceDN w:val="0"/>
              <w:adjustRightInd w:val="0"/>
              <w:ind w:right="-108"/>
              <w:rPr>
                <w:sz w:val="24"/>
                <w:szCs w:val="24"/>
              </w:rPr>
            </w:pPr>
            <w:r>
              <w:rPr>
                <w:sz w:val="24"/>
                <w:szCs w:val="24"/>
              </w:rPr>
              <w:t>1522,6</w:t>
            </w:r>
          </w:p>
        </w:tc>
        <w:tc>
          <w:tcPr>
            <w:tcW w:w="868" w:type="dxa"/>
            <w:gridSpan w:val="4"/>
            <w:tcBorders>
              <w:top w:val="single" w:sz="4" w:space="0" w:color="auto"/>
              <w:left w:val="single" w:sz="4" w:space="0" w:color="auto"/>
              <w:bottom w:val="single" w:sz="4" w:space="0" w:color="auto"/>
              <w:right w:val="nil"/>
            </w:tcBorders>
          </w:tcPr>
          <w:p w:rsidR="003C31DE" w:rsidRPr="00B046CC" w:rsidRDefault="003C31DE" w:rsidP="00B046CC">
            <w:pPr>
              <w:autoSpaceDE w:val="0"/>
              <w:autoSpaceDN w:val="0"/>
              <w:adjustRightInd w:val="0"/>
              <w:ind w:left="-108" w:right="-108"/>
              <w:jc w:val="center"/>
              <w:rPr>
                <w:sz w:val="24"/>
                <w:szCs w:val="24"/>
              </w:rPr>
            </w:pPr>
            <w:r>
              <w:rPr>
                <w:sz w:val="24"/>
                <w:szCs w:val="24"/>
              </w:rPr>
              <w:t>871,0</w:t>
            </w:r>
          </w:p>
        </w:tc>
        <w:tc>
          <w:tcPr>
            <w:tcW w:w="852" w:type="dxa"/>
            <w:gridSpan w:val="3"/>
            <w:tcBorders>
              <w:top w:val="single" w:sz="4" w:space="0" w:color="auto"/>
              <w:left w:val="single" w:sz="4" w:space="0" w:color="auto"/>
              <w:bottom w:val="single" w:sz="4" w:space="0" w:color="auto"/>
              <w:right w:val="single" w:sz="4" w:space="0" w:color="auto"/>
            </w:tcBorders>
          </w:tcPr>
          <w:p w:rsidR="003C31DE" w:rsidRPr="002C7679" w:rsidRDefault="003C31DE" w:rsidP="00537906">
            <w:pPr>
              <w:autoSpaceDE w:val="0"/>
              <w:autoSpaceDN w:val="0"/>
              <w:adjustRightInd w:val="0"/>
              <w:ind w:left="-108" w:right="-108"/>
              <w:jc w:val="center"/>
              <w:rPr>
                <w:sz w:val="24"/>
                <w:szCs w:val="24"/>
              </w:rPr>
            </w:pPr>
          </w:p>
          <w:p w:rsidR="003C31DE" w:rsidRPr="002C7679" w:rsidRDefault="003C31DE" w:rsidP="00537906">
            <w:pPr>
              <w:autoSpaceDE w:val="0"/>
              <w:autoSpaceDN w:val="0"/>
              <w:adjustRightInd w:val="0"/>
              <w:ind w:left="-108" w:right="-108"/>
              <w:jc w:val="center"/>
              <w:rPr>
                <w:sz w:val="24"/>
                <w:szCs w:val="24"/>
              </w:rPr>
            </w:pPr>
            <w:r w:rsidRPr="002C7679">
              <w:rPr>
                <w:sz w:val="24"/>
                <w:szCs w:val="24"/>
              </w:rPr>
              <w:t>651,6</w:t>
            </w:r>
          </w:p>
          <w:p w:rsidR="003C31DE" w:rsidRPr="002C7679" w:rsidRDefault="003C31DE" w:rsidP="00537906">
            <w:pPr>
              <w:autoSpaceDE w:val="0"/>
              <w:autoSpaceDN w:val="0"/>
              <w:adjustRightInd w:val="0"/>
              <w:ind w:left="-108" w:right="-108"/>
              <w:jc w:val="center"/>
              <w:rPr>
                <w:sz w:val="24"/>
                <w:szCs w:val="24"/>
              </w:rPr>
            </w:pPr>
          </w:p>
        </w:tc>
        <w:tc>
          <w:tcPr>
            <w:tcW w:w="3256" w:type="dxa"/>
            <w:gridSpan w:val="17"/>
            <w:tcBorders>
              <w:top w:val="single" w:sz="4" w:space="0" w:color="auto"/>
              <w:left w:val="single" w:sz="4" w:space="0" w:color="auto"/>
              <w:bottom w:val="single" w:sz="4" w:space="0" w:color="auto"/>
              <w:right w:val="single" w:sz="4" w:space="0" w:color="auto"/>
            </w:tcBorders>
          </w:tcPr>
          <w:p w:rsidR="003C31DE" w:rsidRPr="009E1B5C" w:rsidRDefault="003C31DE"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3C31DE" w:rsidRPr="009E1B5C" w:rsidRDefault="003C31DE" w:rsidP="00C12CBA">
            <w:pPr>
              <w:autoSpaceDE w:val="0"/>
              <w:autoSpaceDN w:val="0"/>
              <w:adjustRightInd w:val="0"/>
              <w:ind w:left="-108" w:right="-108"/>
              <w:jc w:val="center"/>
              <w:rPr>
                <w:sz w:val="24"/>
                <w:szCs w:val="24"/>
              </w:rPr>
            </w:pPr>
          </w:p>
        </w:tc>
        <w:tc>
          <w:tcPr>
            <w:tcW w:w="3275" w:type="dxa"/>
            <w:gridSpan w:val="4"/>
            <w:vMerge w:val="restart"/>
            <w:tcBorders>
              <w:top w:val="nil"/>
              <w:left w:val="single" w:sz="4" w:space="0" w:color="auto"/>
              <w:bottom w:val="nil"/>
              <w:right w:val="nil"/>
            </w:tcBorders>
          </w:tcPr>
          <w:p w:rsidR="003C31DE" w:rsidRPr="009E1B5C" w:rsidRDefault="003C31DE" w:rsidP="00C12CBA">
            <w:pPr>
              <w:autoSpaceDE w:val="0"/>
              <w:autoSpaceDN w:val="0"/>
              <w:adjustRightInd w:val="0"/>
              <w:jc w:val="center"/>
              <w:rPr>
                <w:sz w:val="24"/>
                <w:szCs w:val="24"/>
              </w:rPr>
            </w:pPr>
          </w:p>
        </w:tc>
      </w:tr>
      <w:tr w:rsidR="003C31DE" w:rsidRPr="009E1B5C" w:rsidTr="006C5571">
        <w:trPr>
          <w:trHeight w:val="732"/>
        </w:trPr>
        <w:tc>
          <w:tcPr>
            <w:tcW w:w="4466" w:type="dxa"/>
            <w:gridSpan w:val="2"/>
            <w:vMerge/>
            <w:tcBorders>
              <w:left w:val="single" w:sz="4" w:space="0" w:color="auto"/>
              <w:right w:val="single" w:sz="4" w:space="0" w:color="auto"/>
            </w:tcBorders>
            <w:vAlign w:val="center"/>
          </w:tcPr>
          <w:p w:rsidR="003C31DE" w:rsidRPr="00F50F60" w:rsidRDefault="003C31DE"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3C31DE" w:rsidRPr="00B046CC" w:rsidRDefault="003C31DE" w:rsidP="00C12CBA">
            <w:pPr>
              <w:autoSpaceDE w:val="0"/>
              <w:autoSpaceDN w:val="0"/>
              <w:adjustRightInd w:val="0"/>
              <w:rPr>
                <w:spacing w:val="-6"/>
                <w:sz w:val="24"/>
                <w:szCs w:val="24"/>
              </w:rPr>
            </w:pPr>
            <w:r w:rsidRPr="00B046CC">
              <w:rPr>
                <w:spacing w:val="-6"/>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3C31DE" w:rsidRPr="00793E5B" w:rsidRDefault="003C31DE" w:rsidP="00537906">
            <w:pPr>
              <w:autoSpaceDE w:val="0"/>
              <w:autoSpaceDN w:val="0"/>
              <w:adjustRightInd w:val="0"/>
              <w:ind w:right="-108"/>
              <w:rPr>
                <w:sz w:val="24"/>
                <w:szCs w:val="24"/>
              </w:rPr>
            </w:pPr>
            <w:r>
              <w:rPr>
                <w:sz w:val="24"/>
                <w:szCs w:val="24"/>
              </w:rPr>
              <w:t>4693,0</w:t>
            </w:r>
          </w:p>
        </w:tc>
        <w:tc>
          <w:tcPr>
            <w:tcW w:w="868" w:type="dxa"/>
            <w:gridSpan w:val="4"/>
            <w:tcBorders>
              <w:top w:val="single" w:sz="4" w:space="0" w:color="auto"/>
              <w:left w:val="single" w:sz="4" w:space="0" w:color="auto"/>
              <w:bottom w:val="single" w:sz="4" w:space="0" w:color="auto"/>
              <w:right w:val="nil"/>
            </w:tcBorders>
          </w:tcPr>
          <w:p w:rsidR="003C31DE" w:rsidRPr="00B046CC" w:rsidRDefault="003C31DE" w:rsidP="00B046CC">
            <w:pPr>
              <w:ind w:right="-143"/>
              <w:jc w:val="center"/>
              <w:rPr>
                <w:sz w:val="24"/>
                <w:szCs w:val="24"/>
              </w:rPr>
            </w:pPr>
            <w:r>
              <w:rPr>
                <w:sz w:val="24"/>
                <w:szCs w:val="24"/>
              </w:rPr>
              <w:t>1895,4</w:t>
            </w:r>
          </w:p>
        </w:tc>
        <w:tc>
          <w:tcPr>
            <w:tcW w:w="852" w:type="dxa"/>
            <w:gridSpan w:val="3"/>
            <w:tcBorders>
              <w:top w:val="single" w:sz="4" w:space="0" w:color="auto"/>
              <w:left w:val="single" w:sz="4" w:space="0" w:color="auto"/>
              <w:bottom w:val="single" w:sz="4" w:space="0" w:color="auto"/>
              <w:right w:val="single" w:sz="4" w:space="0" w:color="auto"/>
            </w:tcBorders>
          </w:tcPr>
          <w:p w:rsidR="003C31DE" w:rsidRPr="002C7679" w:rsidRDefault="003C31DE" w:rsidP="00537906">
            <w:pPr>
              <w:autoSpaceDE w:val="0"/>
              <w:autoSpaceDN w:val="0"/>
              <w:adjustRightInd w:val="0"/>
              <w:ind w:left="-108" w:right="-108"/>
              <w:jc w:val="center"/>
              <w:rPr>
                <w:sz w:val="24"/>
                <w:szCs w:val="24"/>
              </w:rPr>
            </w:pPr>
          </w:p>
          <w:p w:rsidR="003C31DE" w:rsidRPr="002C7679" w:rsidRDefault="003C31DE" w:rsidP="00537906">
            <w:pPr>
              <w:autoSpaceDE w:val="0"/>
              <w:autoSpaceDN w:val="0"/>
              <w:adjustRightInd w:val="0"/>
              <w:ind w:left="-108" w:right="-108"/>
              <w:jc w:val="center"/>
              <w:rPr>
                <w:sz w:val="24"/>
                <w:szCs w:val="24"/>
              </w:rPr>
            </w:pPr>
            <w:r w:rsidRPr="002C7679">
              <w:rPr>
                <w:sz w:val="24"/>
                <w:szCs w:val="24"/>
              </w:rPr>
              <w:t>2797,6</w:t>
            </w:r>
          </w:p>
        </w:tc>
        <w:tc>
          <w:tcPr>
            <w:tcW w:w="3256" w:type="dxa"/>
            <w:gridSpan w:val="17"/>
            <w:tcBorders>
              <w:top w:val="single" w:sz="4" w:space="0" w:color="auto"/>
              <w:left w:val="single" w:sz="4" w:space="0" w:color="auto"/>
              <w:bottom w:val="single" w:sz="4" w:space="0" w:color="auto"/>
              <w:right w:val="single" w:sz="4" w:space="0" w:color="auto"/>
            </w:tcBorders>
          </w:tcPr>
          <w:p w:rsidR="003C31DE" w:rsidRPr="009E1B5C" w:rsidRDefault="003C31DE"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3C31DE" w:rsidRPr="009E1B5C" w:rsidRDefault="003C31DE" w:rsidP="00C12CBA">
            <w:pPr>
              <w:jc w:val="center"/>
              <w:rPr>
                <w:b/>
                <w:sz w:val="24"/>
                <w:szCs w:val="24"/>
              </w:rPr>
            </w:pPr>
          </w:p>
        </w:tc>
        <w:tc>
          <w:tcPr>
            <w:tcW w:w="3275" w:type="dxa"/>
            <w:gridSpan w:val="4"/>
            <w:vMerge/>
            <w:tcBorders>
              <w:top w:val="nil"/>
              <w:left w:val="single" w:sz="4" w:space="0" w:color="auto"/>
              <w:bottom w:val="nil"/>
              <w:right w:val="nil"/>
            </w:tcBorders>
          </w:tcPr>
          <w:p w:rsidR="003C31DE" w:rsidRPr="009E1B5C" w:rsidRDefault="003C31DE" w:rsidP="00C12CBA">
            <w:pPr>
              <w:autoSpaceDE w:val="0"/>
              <w:autoSpaceDN w:val="0"/>
              <w:adjustRightInd w:val="0"/>
              <w:jc w:val="center"/>
              <w:rPr>
                <w:sz w:val="24"/>
                <w:szCs w:val="24"/>
              </w:rPr>
            </w:pPr>
          </w:p>
        </w:tc>
      </w:tr>
      <w:tr w:rsidR="000F4D13" w:rsidRPr="009E1B5C" w:rsidTr="006C5571">
        <w:trPr>
          <w:gridAfter w:val="1"/>
          <w:wAfter w:w="27" w:type="dxa"/>
          <w:trHeight w:val="616"/>
        </w:trPr>
        <w:tc>
          <w:tcPr>
            <w:tcW w:w="4466" w:type="dxa"/>
            <w:gridSpan w:val="2"/>
            <w:vMerge/>
            <w:tcBorders>
              <w:left w:val="single" w:sz="4" w:space="0" w:color="auto"/>
              <w:right w:val="single" w:sz="4" w:space="0" w:color="auto"/>
            </w:tcBorders>
            <w:vAlign w:val="center"/>
          </w:tcPr>
          <w:p w:rsidR="000F4D13" w:rsidRPr="00F50F60" w:rsidRDefault="000F4D13"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0F4D13" w:rsidRPr="00F50F60" w:rsidRDefault="000F4D13" w:rsidP="00C12CBA">
            <w:pPr>
              <w:autoSpaceDE w:val="0"/>
              <w:autoSpaceDN w:val="0"/>
              <w:adjustRightInd w:val="0"/>
              <w:rPr>
                <w:spacing w:val="-6"/>
                <w:sz w:val="24"/>
                <w:szCs w:val="24"/>
              </w:rPr>
            </w:pPr>
            <w:r w:rsidRPr="00F50F60">
              <w:rPr>
                <w:spacing w:val="-6"/>
                <w:sz w:val="24"/>
                <w:szCs w:val="24"/>
              </w:rPr>
              <w:t>районный бюджет</w:t>
            </w:r>
          </w:p>
        </w:tc>
        <w:tc>
          <w:tcPr>
            <w:tcW w:w="1001" w:type="dxa"/>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08" w:right="-120"/>
              <w:jc w:val="center"/>
              <w:rPr>
                <w:color w:val="000000"/>
                <w:sz w:val="24"/>
                <w:szCs w:val="24"/>
              </w:rPr>
            </w:pPr>
            <w:r w:rsidRPr="009E1B5C">
              <w:rPr>
                <w:color w:val="000000"/>
                <w:sz w:val="24"/>
                <w:szCs w:val="24"/>
              </w:rPr>
              <w:t>2160,0</w:t>
            </w:r>
          </w:p>
        </w:tc>
        <w:tc>
          <w:tcPr>
            <w:tcW w:w="868" w:type="dxa"/>
            <w:gridSpan w:val="4"/>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08" w:right="-120"/>
              <w:jc w:val="center"/>
              <w:rPr>
                <w:color w:val="000000"/>
                <w:sz w:val="24"/>
                <w:szCs w:val="24"/>
              </w:rPr>
            </w:pPr>
            <w:r w:rsidRPr="009E1B5C">
              <w:rPr>
                <w:color w:val="000000"/>
                <w:sz w:val="24"/>
                <w:szCs w:val="24"/>
              </w:rPr>
              <w:t>360,0</w:t>
            </w:r>
          </w:p>
        </w:tc>
        <w:tc>
          <w:tcPr>
            <w:tcW w:w="852" w:type="dxa"/>
            <w:gridSpan w:val="3"/>
            <w:tcBorders>
              <w:top w:val="single" w:sz="4" w:space="0" w:color="auto"/>
              <w:left w:val="single" w:sz="4" w:space="0" w:color="auto"/>
              <w:bottom w:val="single" w:sz="4" w:space="0" w:color="auto"/>
              <w:right w:val="single" w:sz="4" w:space="0" w:color="auto"/>
            </w:tcBorders>
          </w:tcPr>
          <w:p w:rsidR="000F4D13" w:rsidRPr="009E1B5C" w:rsidRDefault="006C5571" w:rsidP="00C12CBA">
            <w:pPr>
              <w:ind w:left="-108" w:right="-120"/>
              <w:jc w:val="center"/>
              <w:rPr>
                <w:color w:val="000000"/>
                <w:sz w:val="24"/>
                <w:szCs w:val="24"/>
              </w:rPr>
            </w:pPr>
            <w:r>
              <w:rPr>
                <w:color w:val="000000"/>
                <w:sz w:val="24"/>
                <w:szCs w:val="24"/>
              </w:rPr>
              <w:t>423,8</w:t>
            </w:r>
          </w:p>
        </w:tc>
        <w:tc>
          <w:tcPr>
            <w:tcW w:w="994" w:type="dxa"/>
            <w:gridSpan w:val="3"/>
            <w:tcBorders>
              <w:top w:val="single" w:sz="4" w:space="0" w:color="auto"/>
              <w:left w:val="single" w:sz="4" w:space="0" w:color="auto"/>
              <w:bottom w:val="single" w:sz="4" w:space="0" w:color="auto"/>
              <w:right w:val="single" w:sz="4" w:space="0" w:color="auto"/>
            </w:tcBorders>
          </w:tcPr>
          <w:p w:rsidR="000F4D13" w:rsidRDefault="000F4D13" w:rsidP="003A70C3">
            <w:r w:rsidRPr="00FD2C35">
              <w:rPr>
                <w:sz w:val="24"/>
                <w:szCs w:val="24"/>
              </w:rPr>
              <w:t>540,0</w:t>
            </w:r>
          </w:p>
        </w:tc>
        <w:tc>
          <w:tcPr>
            <w:tcW w:w="683" w:type="dxa"/>
            <w:gridSpan w:val="2"/>
            <w:tcBorders>
              <w:top w:val="single" w:sz="4" w:space="0" w:color="auto"/>
              <w:left w:val="single" w:sz="4" w:space="0" w:color="auto"/>
              <w:bottom w:val="single" w:sz="4" w:space="0" w:color="auto"/>
              <w:right w:val="single" w:sz="4" w:space="0" w:color="auto"/>
            </w:tcBorders>
          </w:tcPr>
          <w:p w:rsidR="000F4D13" w:rsidRDefault="000F4D13" w:rsidP="000F4D13">
            <w:pPr>
              <w:ind w:right="-189"/>
            </w:pPr>
            <w:r w:rsidRPr="00FD2C35">
              <w:rPr>
                <w:sz w:val="24"/>
                <w:szCs w:val="24"/>
              </w:rPr>
              <w:t>540,0</w:t>
            </w:r>
          </w:p>
        </w:tc>
        <w:tc>
          <w:tcPr>
            <w:tcW w:w="842" w:type="dxa"/>
            <w:gridSpan w:val="6"/>
            <w:tcBorders>
              <w:top w:val="nil"/>
              <w:left w:val="single" w:sz="4" w:space="0" w:color="auto"/>
              <w:bottom w:val="nil"/>
              <w:right w:val="single" w:sz="4" w:space="0" w:color="auto"/>
            </w:tcBorders>
          </w:tcPr>
          <w:p w:rsidR="000F4D13" w:rsidRDefault="000F4D13" w:rsidP="003A70C3">
            <w:r w:rsidRPr="00FD2C35">
              <w:rPr>
                <w:sz w:val="24"/>
                <w:szCs w:val="24"/>
              </w:rPr>
              <w:t>540,0</w:t>
            </w:r>
          </w:p>
        </w:tc>
        <w:tc>
          <w:tcPr>
            <w:tcW w:w="690" w:type="dxa"/>
            <w:gridSpan w:val="4"/>
            <w:tcBorders>
              <w:top w:val="single" w:sz="4" w:space="0" w:color="auto"/>
              <w:left w:val="single" w:sz="4" w:space="0" w:color="auto"/>
              <w:bottom w:val="single" w:sz="4" w:space="0" w:color="auto"/>
              <w:right w:val="single" w:sz="4" w:space="0" w:color="auto"/>
            </w:tcBorders>
          </w:tcPr>
          <w:p w:rsidR="000F4D13" w:rsidRDefault="000F4D13" w:rsidP="000F4D13">
            <w:pPr>
              <w:ind w:right="-75"/>
            </w:pPr>
            <w:r w:rsidRPr="00FD2C35">
              <w:rPr>
                <w:sz w:val="24"/>
                <w:szCs w:val="24"/>
              </w:rPr>
              <w:t>540,0</w:t>
            </w:r>
          </w:p>
        </w:tc>
        <w:tc>
          <w:tcPr>
            <w:tcW w:w="3295" w:type="dxa"/>
            <w:gridSpan w:val="5"/>
            <w:tcBorders>
              <w:top w:val="nil"/>
              <w:left w:val="single" w:sz="4" w:space="0" w:color="auto"/>
              <w:bottom w:val="nil"/>
              <w:right w:val="nil"/>
            </w:tcBorders>
          </w:tcPr>
          <w:p w:rsidR="000F4D13" w:rsidRPr="009E1B5C" w:rsidRDefault="000F4D13" w:rsidP="00C12CBA">
            <w:pPr>
              <w:autoSpaceDE w:val="0"/>
              <w:autoSpaceDN w:val="0"/>
              <w:adjustRightInd w:val="0"/>
              <w:jc w:val="center"/>
              <w:rPr>
                <w:sz w:val="24"/>
                <w:szCs w:val="24"/>
              </w:rPr>
            </w:pPr>
          </w:p>
        </w:tc>
      </w:tr>
      <w:tr w:rsidR="006C5571" w:rsidRPr="009E1B5C" w:rsidTr="006C5571">
        <w:trPr>
          <w:gridAfter w:val="1"/>
          <w:wAfter w:w="27" w:type="dxa"/>
          <w:trHeight w:val="624"/>
        </w:trPr>
        <w:tc>
          <w:tcPr>
            <w:tcW w:w="4466" w:type="dxa"/>
            <w:gridSpan w:val="2"/>
            <w:vMerge/>
            <w:tcBorders>
              <w:left w:val="single" w:sz="4" w:space="0" w:color="auto"/>
              <w:bottom w:val="single" w:sz="4" w:space="0" w:color="auto"/>
              <w:right w:val="single" w:sz="4" w:space="0" w:color="auto"/>
            </w:tcBorders>
            <w:vAlign w:val="center"/>
          </w:tcPr>
          <w:p w:rsidR="006C5571" w:rsidRPr="00F50F60" w:rsidRDefault="006C5571"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C5571" w:rsidRPr="00F50F60" w:rsidRDefault="006C5571" w:rsidP="00C12CBA">
            <w:pPr>
              <w:autoSpaceDE w:val="0"/>
              <w:autoSpaceDN w:val="0"/>
              <w:adjustRightInd w:val="0"/>
              <w:rPr>
                <w:spacing w:val="-6"/>
                <w:sz w:val="24"/>
                <w:szCs w:val="24"/>
              </w:rPr>
            </w:pPr>
            <w:r w:rsidRPr="00F50F60">
              <w:rPr>
                <w:spacing w:val="-6"/>
                <w:sz w:val="24"/>
                <w:szCs w:val="24"/>
              </w:rPr>
              <w:t>внебюджетные средства</w:t>
            </w:r>
          </w:p>
        </w:tc>
        <w:tc>
          <w:tcPr>
            <w:tcW w:w="1001" w:type="dxa"/>
            <w:tcBorders>
              <w:top w:val="single" w:sz="4" w:space="0" w:color="auto"/>
              <w:left w:val="single" w:sz="4" w:space="0" w:color="auto"/>
              <w:bottom w:val="single" w:sz="4" w:space="0" w:color="auto"/>
              <w:right w:val="single" w:sz="4" w:space="0" w:color="auto"/>
            </w:tcBorders>
          </w:tcPr>
          <w:p w:rsidR="006C5571" w:rsidRPr="005B027C" w:rsidRDefault="006C5571" w:rsidP="005B027C">
            <w:pPr>
              <w:ind w:right="-153"/>
              <w:jc w:val="center"/>
              <w:rPr>
                <w:sz w:val="24"/>
                <w:szCs w:val="24"/>
              </w:rPr>
            </w:pPr>
            <w:r w:rsidRPr="005B027C">
              <w:rPr>
                <w:sz w:val="24"/>
                <w:szCs w:val="24"/>
              </w:rPr>
              <w:t>3309,1</w:t>
            </w:r>
          </w:p>
        </w:tc>
        <w:tc>
          <w:tcPr>
            <w:tcW w:w="858" w:type="dxa"/>
            <w:gridSpan w:val="3"/>
            <w:tcBorders>
              <w:top w:val="single" w:sz="4" w:space="0" w:color="auto"/>
              <w:left w:val="single" w:sz="4" w:space="0" w:color="auto"/>
              <w:bottom w:val="single" w:sz="4" w:space="0" w:color="auto"/>
              <w:right w:val="single" w:sz="4" w:space="0" w:color="auto"/>
            </w:tcBorders>
          </w:tcPr>
          <w:p w:rsidR="006C5571" w:rsidRPr="005B027C" w:rsidRDefault="006C5571" w:rsidP="005B027C">
            <w:pPr>
              <w:ind w:right="-145"/>
              <w:jc w:val="center"/>
              <w:rPr>
                <w:sz w:val="24"/>
                <w:szCs w:val="24"/>
              </w:rPr>
            </w:pPr>
            <w:r w:rsidRPr="005B027C">
              <w:rPr>
                <w:sz w:val="24"/>
                <w:szCs w:val="24"/>
              </w:rPr>
              <w:t>3309,1</w:t>
            </w:r>
          </w:p>
        </w:tc>
        <w:tc>
          <w:tcPr>
            <w:tcW w:w="855" w:type="dxa"/>
            <w:gridSpan w:val="3"/>
            <w:tcBorders>
              <w:top w:val="single" w:sz="4" w:space="0" w:color="auto"/>
              <w:left w:val="single" w:sz="4" w:space="0" w:color="auto"/>
              <w:bottom w:val="single" w:sz="4" w:space="0" w:color="auto"/>
              <w:right w:val="single" w:sz="4" w:space="0" w:color="auto"/>
            </w:tcBorders>
          </w:tcPr>
          <w:p w:rsidR="006C5571" w:rsidRPr="009E1B5C" w:rsidRDefault="006C5571" w:rsidP="00C12CBA">
            <w:pPr>
              <w:jc w:val="center"/>
              <w:rPr>
                <w:b/>
                <w:sz w:val="24"/>
                <w:szCs w:val="24"/>
              </w:rPr>
            </w:pPr>
          </w:p>
        </w:tc>
        <w:tc>
          <w:tcPr>
            <w:tcW w:w="3247" w:type="dxa"/>
            <w:gridSpan w:val="17"/>
            <w:tcBorders>
              <w:top w:val="single" w:sz="4" w:space="0" w:color="auto"/>
              <w:left w:val="single" w:sz="4" w:space="0" w:color="auto"/>
              <w:bottom w:val="single" w:sz="4" w:space="0" w:color="auto"/>
              <w:right w:val="single" w:sz="4" w:space="0" w:color="auto"/>
            </w:tcBorders>
          </w:tcPr>
          <w:p w:rsidR="006C5571" w:rsidRPr="009E1B5C" w:rsidRDefault="006C5571" w:rsidP="00C12CBA">
            <w:pPr>
              <w:jc w:val="center"/>
              <w:rPr>
                <w:b/>
                <w:sz w:val="24"/>
                <w:szCs w:val="24"/>
              </w:rPr>
            </w:pPr>
            <w:r w:rsidRPr="009E1B5C">
              <w:rPr>
                <w:b/>
                <w:sz w:val="24"/>
                <w:szCs w:val="24"/>
              </w:rPr>
              <w:t>по итогам распределения средств</w:t>
            </w:r>
          </w:p>
        </w:tc>
        <w:tc>
          <w:tcPr>
            <w:tcW w:w="3264" w:type="dxa"/>
            <w:gridSpan w:val="4"/>
            <w:tcBorders>
              <w:top w:val="nil"/>
              <w:left w:val="single" w:sz="4" w:space="0" w:color="auto"/>
              <w:bottom w:val="nil"/>
              <w:right w:val="nil"/>
            </w:tcBorders>
          </w:tcPr>
          <w:p w:rsidR="006C5571" w:rsidRPr="009E1B5C" w:rsidRDefault="006C5571"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06" w:rsidRDefault="00537906">
      <w:r>
        <w:separator/>
      </w:r>
    </w:p>
  </w:endnote>
  <w:endnote w:type="continuationSeparator" w:id="0">
    <w:p w:rsidR="00537906" w:rsidRDefault="0053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a"/>
    </w:pPr>
  </w:p>
  <w:p w:rsidR="00537906" w:rsidRDefault="005379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06" w:rsidRDefault="00537906">
      <w:r>
        <w:separator/>
      </w:r>
    </w:p>
  </w:footnote>
  <w:footnote w:type="continuationSeparator" w:id="0">
    <w:p w:rsidR="00537906" w:rsidRDefault="00537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6"/>
    </w:pPr>
  </w:p>
  <w:p w:rsidR="00537906" w:rsidRDefault="005379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Pr="0006596B" w:rsidRDefault="00FC5FC9"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6C5571">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802CA"/>
    <w:rsid w:val="0028618B"/>
    <w:rsid w:val="00290DCE"/>
    <w:rsid w:val="00291C6C"/>
    <w:rsid w:val="00292D92"/>
    <w:rsid w:val="0029520D"/>
    <w:rsid w:val="002A066B"/>
    <w:rsid w:val="002A0CF1"/>
    <w:rsid w:val="002A11B3"/>
    <w:rsid w:val="002A3883"/>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338A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5571"/>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FBB"/>
    <w:rsid w:val="00CC56E7"/>
    <w:rsid w:val="00CD4F1D"/>
    <w:rsid w:val="00CE258B"/>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5ED2"/>
    <w:rsid w:val="00F166B6"/>
    <w:rsid w:val="00F17617"/>
    <w:rsid w:val="00F2384E"/>
    <w:rsid w:val="00F23EFC"/>
    <w:rsid w:val="00F25559"/>
    <w:rsid w:val="00F33BA0"/>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5FC9"/>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9451-7943-424C-85A3-C7A151DB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econom2</cp:lastModifiedBy>
  <cp:revision>26</cp:revision>
  <cp:lastPrinted>2019-11-12T06:23:00Z</cp:lastPrinted>
  <dcterms:created xsi:type="dcterms:W3CDTF">2019-11-25T09:22:00Z</dcterms:created>
  <dcterms:modified xsi:type="dcterms:W3CDTF">2021-12-03T07:01:00Z</dcterms:modified>
</cp:coreProperties>
</file>