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365D01">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365D01">
        <w:rPr>
          <w:sz w:val="28"/>
          <w:szCs w:val="28"/>
        </w:rPr>
        <w:t>0452</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w:t>
      </w:r>
      <w:r w:rsidRPr="00582030">
        <w:rPr>
          <w:sz w:val="28"/>
          <w:szCs w:val="28"/>
        </w:rPr>
        <w:t xml:space="preserve">документы, сообщение о возможном установлении публичного сервитута  от  </w:t>
      </w:r>
      <w:r w:rsidR="005659F1" w:rsidRPr="00582030">
        <w:rPr>
          <w:sz w:val="28"/>
          <w:szCs w:val="28"/>
        </w:rPr>
        <w:t>25.0</w:t>
      </w:r>
      <w:r w:rsidR="00FE2E72" w:rsidRPr="00582030">
        <w:rPr>
          <w:sz w:val="28"/>
          <w:szCs w:val="28"/>
        </w:rPr>
        <w:t>4</w:t>
      </w:r>
      <w:r w:rsidR="005659F1" w:rsidRPr="00582030">
        <w:rPr>
          <w:sz w:val="28"/>
          <w:szCs w:val="28"/>
        </w:rPr>
        <w:t>.2021</w:t>
      </w:r>
      <w:r w:rsidRPr="00582030">
        <w:rPr>
          <w:sz w:val="28"/>
          <w:szCs w:val="28"/>
        </w:rPr>
        <w:t xml:space="preserve">, размещенное </w:t>
      </w:r>
      <w:r w:rsidRPr="006E1A2C">
        <w:rPr>
          <w:sz w:val="28"/>
          <w:szCs w:val="28"/>
        </w:rPr>
        <w:t xml:space="preserve">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365D01">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582030" w:rsidRPr="00582030">
        <w:rPr>
          <w:sz w:val="28"/>
          <w:szCs w:val="28"/>
        </w:rPr>
        <w:t>ВЛ-10 кВ ф. 65-13</w:t>
      </w:r>
      <w:r w:rsidRPr="00776028">
        <w:rPr>
          <w:sz w:val="28"/>
          <w:szCs w:val="28"/>
        </w:rPr>
        <w:t>»</w:t>
      </w:r>
      <w:r w:rsidRPr="00582030">
        <w:rPr>
          <w:sz w:val="28"/>
          <w:szCs w:val="28"/>
        </w:rPr>
        <w:t xml:space="preserve">, площадью </w:t>
      </w:r>
      <w:r w:rsidR="00582030" w:rsidRPr="00582030">
        <w:rPr>
          <w:sz w:val="28"/>
          <w:szCs w:val="28"/>
        </w:rPr>
        <w:t>368235</w:t>
      </w:r>
      <w:r w:rsidRPr="00582030">
        <w:rPr>
          <w:sz w:val="28"/>
          <w:szCs w:val="28"/>
        </w:rPr>
        <w:t xml:space="preserve"> кв. м.</w:t>
      </w:r>
      <w:r w:rsidRPr="00776028">
        <w:rPr>
          <w:sz w:val="28"/>
        </w:rPr>
        <w:t xml:space="preserve"> </w:t>
      </w:r>
      <w:bookmarkStart w:id="0" w:name="_GoBack"/>
      <w:bookmarkEnd w:id="0"/>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законодателсьтвом;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вышеназваныных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365D01">
        <w:rPr>
          <w:bCs/>
          <w:sz w:val="28"/>
          <w:szCs w:val="28"/>
        </w:rPr>
        <w:t xml:space="preserve">    </w:t>
      </w:r>
      <w:r w:rsidRPr="006E1A2C">
        <w:rPr>
          <w:bCs/>
          <w:sz w:val="28"/>
          <w:szCs w:val="28"/>
        </w:rPr>
        <w:t>А.</w:t>
      </w:r>
      <w:r>
        <w:rPr>
          <w:bCs/>
          <w:sz w:val="28"/>
          <w:szCs w:val="28"/>
        </w:rPr>
        <w:t>С.</w:t>
      </w:r>
      <w:r w:rsidR="00365D01">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6B14"/>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5D01"/>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2030"/>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3625"/>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37F"/>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07C89"/>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6733"/>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600"/>
    <w:rsid w:val="00EB67DC"/>
    <w:rsid w:val="00EC2F91"/>
    <w:rsid w:val="00EC39A5"/>
    <w:rsid w:val="00EC502A"/>
    <w:rsid w:val="00EC6E8A"/>
    <w:rsid w:val="00EC714B"/>
    <w:rsid w:val="00ED12E3"/>
    <w:rsid w:val="00ED1465"/>
    <w:rsid w:val="00ED1D4B"/>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48E8"/>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2E72"/>
    <w:rsid w:val="00FE3A3F"/>
    <w:rsid w:val="00FE4B47"/>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7B537F"/>
    <w:rPr>
      <w:rFonts w:ascii="Tahoma" w:hAnsi="Tahoma" w:cs="Tahoma"/>
      <w:sz w:val="16"/>
      <w:szCs w:val="16"/>
    </w:rPr>
  </w:style>
  <w:style w:type="character" w:customStyle="1" w:styleId="ab">
    <w:name w:val="Текст выноски Знак"/>
    <w:basedOn w:val="a0"/>
    <w:link w:val="aa"/>
    <w:uiPriority w:val="99"/>
    <w:semiHidden/>
    <w:rsid w:val="007B53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7B537F"/>
    <w:rPr>
      <w:rFonts w:ascii="Tahoma" w:hAnsi="Tahoma" w:cs="Tahoma"/>
      <w:sz w:val="16"/>
      <w:szCs w:val="16"/>
    </w:rPr>
  </w:style>
  <w:style w:type="character" w:customStyle="1" w:styleId="ab">
    <w:name w:val="Текст выноски Знак"/>
    <w:basedOn w:val="a0"/>
    <w:link w:val="aa"/>
    <w:uiPriority w:val="99"/>
    <w:semiHidden/>
    <w:rsid w:val="007B53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2021-06-01T08:16:00Z</cp:lastPrinted>
  <dcterms:created xsi:type="dcterms:W3CDTF">2021-06-01T08:16:00Z</dcterms:created>
  <dcterms:modified xsi:type="dcterms:W3CDTF">2021-06-02T11:49:00Z</dcterms:modified>
</cp:coreProperties>
</file>