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0D" w:rsidRDefault="00C2520D" w:rsidP="00C2520D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2520D" w:rsidRPr="00B6703E" w:rsidRDefault="00C2520D" w:rsidP="00C2520D">
      <w:pPr>
        <w:spacing w:line="264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итогах опроса по </w:t>
      </w:r>
      <w:r w:rsidRPr="002D1D61">
        <w:rPr>
          <w:b/>
          <w:sz w:val="28"/>
          <w:szCs w:val="28"/>
        </w:rPr>
        <w:t>оценк</w:t>
      </w:r>
      <w:r>
        <w:rPr>
          <w:b/>
          <w:sz w:val="28"/>
          <w:szCs w:val="28"/>
        </w:rPr>
        <w:t>е</w:t>
      </w:r>
      <w:r w:rsidRPr="002D1D61">
        <w:rPr>
          <w:b/>
          <w:sz w:val="28"/>
          <w:szCs w:val="28"/>
        </w:rPr>
        <w:t xml:space="preserve"> населением</w:t>
      </w:r>
      <w:r>
        <w:rPr>
          <w:b/>
          <w:sz w:val="28"/>
          <w:szCs w:val="28"/>
        </w:rPr>
        <w:t xml:space="preserve"> </w:t>
      </w:r>
      <w:r w:rsidRPr="002D1D61">
        <w:rPr>
          <w:b/>
          <w:sz w:val="28"/>
          <w:szCs w:val="28"/>
        </w:rPr>
        <w:t xml:space="preserve">эффективности деятельности </w:t>
      </w:r>
      <w:r>
        <w:rPr>
          <w:b/>
          <w:sz w:val="28"/>
          <w:szCs w:val="28"/>
        </w:rPr>
        <w:t>руководителей</w:t>
      </w:r>
      <w:r w:rsidRPr="002D1D61">
        <w:rPr>
          <w:b/>
          <w:sz w:val="28"/>
          <w:szCs w:val="28"/>
        </w:rPr>
        <w:t xml:space="preserve"> органов</w:t>
      </w:r>
      <w:r>
        <w:rPr>
          <w:b/>
          <w:sz w:val="28"/>
          <w:szCs w:val="28"/>
        </w:rPr>
        <w:t xml:space="preserve"> </w:t>
      </w:r>
      <w:r w:rsidRPr="002D1D61">
        <w:rPr>
          <w:b/>
          <w:sz w:val="28"/>
          <w:szCs w:val="28"/>
        </w:rPr>
        <w:t>местного самоуправления муниципальных образований</w:t>
      </w:r>
      <w:r>
        <w:rPr>
          <w:b/>
          <w:sz w:val="28"/>
          <w:szCs w:val="28"/>
        </w:rPr>
        <w:t xml:space="preserve"> </w:t>
      </w:r>
      <w:r w:rsidRPr="002D1D61">
        <w:rPr>
          <w:b/>
          <w:sz w:val="28"/>
          <w:szCs w:val="28"/>
        </w:rPr>
        <w:t xml:space="preserve">Архангельской области, </w:t>
      </w:r>
      <w:r>
        <w:rPr>
          <w:b/>
          <w:sz w:val="28"/>
          <w:szCs w:val="28"/>
        </w:rPr>
        <w:t xml:space="preserve">государственных </w:t>
      </w:r>
      <w:r w:rsidRPr="002D1D61">
        <w:rPr>
          <w:b/>
          <w:sz w:val="28"/>
          <w:szCs w:val="28"/>
        </w:rPr>
        <w:t>унитарных предприятий</w:t>
      </w:r>
      <w:r>
        <w:rPr>
          <w:b/>
          <w:sz w:val="28"/>
          <w:szCs w:val="28"/>
        </w:rPr>
        <w:t xml:space="preserve"> Архангельской области, муниципальных унитарных предприятий муниципальных образований Архангельской области, государственных </w:t>
      </w:r>
      <w:r w:rsidRPr="002D1D61">
        <w:rPr>
          <w:b/>
          <w:sz w:val="28"/>
          <w:szCs w:val="28"/>
        </w:rPr>
        <w:t>учреждений</w:t>
      </w:r>
      <w:r>
        <w:rPr>
          <w:b/>
          <w:sz w:val="28"/>
          <w:szCs w:val="28"/>
        </w:rPr>
        <w:t xml:space="preserve"> Архангельской области и муниципальных учреждений муниципальных образований Архангельской области</w:t>
      </w:r>
      <w:r w:rsidRPr="002D1D6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D1D61">
        <w:rPr>
          <w:b/>
          <w:sz w:val="28"/>
          <w:szCs w:val="28"/>
        </w:rPr>
        <w:t>акционерных обществ, контрольный пакет акций</w:t>
      </w:r>
      <w:r>
        <w:rPr>
          <w:b/>
          <w:sz w:val="28"/>
          <w:szCs w:val="28"/>
        </w:rPr>
        <w:t xml:space="preserve"> которых находится в государственной </w:t>
      </w:r>
      <w:r w:rsidRPr="002D1D61">
        <w:rPr>
          <w:b/>
          <w:sz w:val="28"/>
          <w:szCs w:val="28"/>
        </w:rPr>
        <w:t xml:space="preserve">собственности Архангельской </w:t>
      </w:r>
      <w:r w:rsidRPr="00E52090">
        <w:rPr>
          <w:b/>
          <w:sz w:val="28"/>
          <w:szCs w:val="28"/>
        </w:rPr>
        <w:t>области или в муниципальной собственности муниципальных образований Архангельской области, осуществляющих</w:t>
      </w:r>
      <w:proofErr w:type="gramEnd"/>
      <w:r w:rsidRPr="00E52090">
        <w:rPr>
          <w:b/>
          <w:sz w:val="28"/>
          <w:szCs w:val="28"/>
        </w:rPr>
        <w:t xml:space="preserve"> оказание услуг населению муниципальных образований Архангельской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за I</w:t>
      </w:r>
      <w:r w:rsidRPr="00C82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 w:rsidRPr="00C823D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 года</w:t>
      </w:r>
    </w:p>
    <w:p w:rsidR="00C2520D" w:rsidRPr="009A67D8" w:rsidRDefault="00C2520D" w:rsidP="00C2520D">
      <w:pPr>
        <w:pStyle w:val="a3"/>
        <w:spacing w:line="264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</w:p>
    <w:p w:rsidR="00C2520D" w:rsidRPr="009A67D8" w:rsidRDefault="00C2520D" w:rsidP="00C2520D">
      <w:pPr>
        <w:pStyle w:val="a3"/>
        <w:spacing w:line="264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proofErr w:type="gramStart"/>
      <w:r w:rsidRPr="009A67D8">
        <w:rPr>
          <w:b w:val="0"/>
          <w:bCs w:val="0"/>
          <w:sz w:val="28"/>
          <w:szCs w:val="28"/>
          <w:lang w:eastAsia="en-US"/>
        </w:rPr>
        <w:t xml:space="preserve">В рамках исполнения подпункта «и» пункта 2 Указа Президента Российской Федерации от 07 мая 2012 года № 601 «Об основных направлениях совершенствования системы государственного управления» Правительством Российской Федерации были сформированы Правила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>и муниципальном уровнях, акционерных обществ, контрольный пакет акций которых находится в собственности субъектов Российской Федерации</w:t>
      </w:r>
      <w:proofErr w:type="gramEnd"/>
      <w:r w:rsidRPr="009A67D8">
        <w:rPr>
          <w:b w:val="0"/>
          <w:bCs w:val="0"/>
          <w:sz w:val="28"/>
          <w:szCs w:val="28"/>
          <w:lang w:eastAsia="en-US"/>
        </w:rPr>
        <w:t xml:space="preserve"> или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>в муниципальной собственности, осуществляющих оказание услуг населению муниципальных образований, а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9A67D8">
        <w:rPr>
          <w:b w:val="0"/>
          <w:bCs w:val="0"/>
          <w:sz w:val="28"/>
          <w:szCs w:val="28"/>
          <w:lang w:eastAsia="en-US"/>
        </w:rPr>
        <w:t xml:space="preserve">также применения результатов указанной оценки (утверждены постановлением Правительства Российской Федерации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>от 17 декабря 2012 года № 1317).</w:t>
      </w:r>
    </w:p>
    <w:p w:rsidR="00C2520D" w:rsidRPr="009A67D8" w:rsidRDefault="00C2520D" w:rsidP="00C2520D">
      <w:pPr>
        <w:pStyle w:val="a3"/>
        <w:spacing w:line="264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9A67D8">
        <w:rPr>
          <w:b w:val="0"/>
          <w:bCs w:val="0"/>
          <w:sz w:val="28"/>
          <w:szCs w:val="28"/>
          <w:lang w:eastAsia="en-US"/>
        </w:rPr>
        <w:t xml:space="preserve">На основании изменений от 09 июля 2016 года № 654, внесенных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 xml:space="preserve">в постановление Правительства Российской Федерации от 17 декабря 2012 года </w:t>
      </w:r>
      <w:proofErr w:type="gramStart"/>
      <w:r w:rsidRPr="009A67D8">
        <w:rPr>
          <w:b w:val="0"/>
          <w:bCs w:val="0"/>
          <w:sz w:val="28"/>
          <w:szCs w:val="28"/>
          <w:lang w:eastAsia="en-US"/>
        </w:rPr>
        <w:t xml:space="preserve">№ 1317 «О мерах по реализации Указа Президента Российской Федерации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 xml:space="preserve">от 28 апреля 2008 года № 607 «Об оценке эффективности деятельности органов местного самоуправления городских округов и муниципальных районов»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 xml:space="preserve">и подпункта «и» пункта 2 Указа Президента Российской Федерации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>от 07 мая 2012 года № 601 «Об основных направлениях совершенствования системы государственного управления» (далее – постановление Правительства Российской Федерации № 1317)</w:t>
      </w:r>
      <w:r>
        <w:rPr>
          <w:b w:val="0"/>
          <w:bCs w:val="0"/>
          <w:sz w:val="28"/>
          <w:szCs w:val="28"/>
          <w:lang w:eastAsia="en-US"/>
        </w:rPr>
        <w:t>,</w:t>
      </w:r>
      <w:r w:rsidRPr="009A67D8">
        <w:rPr>
          <w:b w:val="0"/>
          <w:bCs w:val="0"/>
          <w:sz w:val="28"/>
          <w:szCs w:val="28"/>
          <w:lang w:eastAsia="en-US"/>
        </w:rPr>
        <w:t xml:space="preserve"> опросы населения с применением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>IT-технологий</w:t>
      </w:r>
      <w:proofErr w:type="gramEnd"/>
      <w:r w:rsidRPr="009A67D8">
        <w:rPr>
          <w:b w:val="0"/>
          <w:bCs w:val="0"/>
          <w:sz w:val="28"/>
          <w:szCs w:val="28"/>
          <w:lang w:eastAsia="en-US"/>
        </w:rPr>
        <w:t xml:space="preserve"> проводятся в течение всего (отчетного) календарного года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>с 01 января по 31 декабря включительно с подведением итогов в срок:</w:t>
      </w:r>
    </w:p>
    <w:p w:rsidR="00C2520D" w:rsidRPr="009A67D8" w:rsidRDefault="00C2520D" w:rsidP="00C2520D">
      <w:pPr>
        <w:pStyle w:val="a3"/>
        <w:spacing w:line="264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9A67D8">
        <w:rPr>
          <w:b w:val="0"/>
          <w:bCs w:val="0"/>
          <w:sz w:val="28"/>
          <w:szCs w:val="28"/>
          <w:lang w:eastAsia="en-US"/>
        </w:rPr>
        <w:t xml:space="preserve">промежуточные итоги за первое полугодие отчетного года: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>до 15 июля отчетного года;</w:t>
      </w:r>
    </w:p>
    <w:p w:rsidR="00C2520D" w:rsidRPr="009A67D8" w:rsidRDefault="00C2520D" w:rsidP="00C2520D">
      <w:pPr>
        <w:pStyle w:val="a3"/>
        <w:spacing w:line="264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9A67D8">
        <w:rPr>
          <w:b w:val="0"/>
          <w:bCs w:val="0"/>
          <w:sz w:val="28"/>
          <w:szCs w:val="28"/>
          <w:lang w:eastAsia="en-US"/>
        </w:rPr>
        <w:t xml:space="preserve">годовые итоги: в срок до 01 февраля года, следующего за </w:t>
      </w:r>
      <w:proofErr w:type="gramStart"/>
      <w:r w:rsidRPr="009A67D8">
        <w:rPr>
          <w:b w:val="0"/>
          <w:bCs w:val="0"/>
          <w:sz w:val="28"/>
          <w:szCs w:val="28"/>
          <w:lang w:eastAsia="en-US"/>
        </w:rPr>
        <w:t>отчетным</w:t>
      </w:r>
      <w:proofErr w:type="gramEnd"/>
      <w:r w:rsidRPr="009A67D8">
        <w:rPr>
          <w:b w:val="0"/>
          <w:bCs w:val="0"/>
          <w:sz w:val="28"/>
          <w:szCs w:val="28"/>
          <w:lang w:eastAsia="en-US"/>
        </w:rPr>
        <w:t>.</w:t>
      </w:r>
    </w:p>
    <w:p w:rsidR="00C2520D" w:rsidRPr="009A67D8" w:rsidRDefault="00C2520D" w:rsidP="00C2520D">
      <w:pPr>
        <w:pStyle w:val="a3"/>
        <w:spacing w:line="264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proofErr w:type="gramStart"/>
      <w:r w:rsidRPr="009A67D8">
        <w:rPr>
          <w:b w:val="0"/>
          <w:bCs w:val="0"/>
          <w:sz w:val="28"/>
          <w:szCs w:val="28"/>
          <w:lang w:eastAsia="en-US"/>
        </w:rPr>
        <w:lastRenderedPageBreak/>
        <w:t xml:space="preserve">На основании измененных Правил проведения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 xml:space="preserve">и муниципальном уровнях, акционерных обществ, контрольный пакет акций которых находится в собственности субъектов российской федерации или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 xml:space="preserve">в муниципальной собственности, осуществляющих оказание услуг населению муниципальных образований (далее – Правила), утвержденных постановлением Правительства Российской Федерации от 17 декабря 2012 года № 1317,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>на территории</w:t>
      </w:r>
      <w:proofErr w:type="gramEnd"/>
      <w:r w:rsidRPr="009A67D8">
        <w:rPr>
          <w:b w:val="0"/>
          <w:bCs w:val="0"/>
          <w:sz w:val="28"/>
          <w:szCs w:val="28"/>
          <w:lang w:eastAsia="en-US"/>
        </w:rPr>
        <w:t xml:space="preserve"> Архангельской области была актуализирована региона</w:t>
      </w:r>
      <w:r>
        <w:rPr>
          <w:b w:val="0"/>
          <w:bCs w:val="0"/>
          <w:sz w:val="28"/>
          <w:szCs w:val="28"/>
          <w:lang w:eastAsia="en-US"/>
        </w:rPr>
        <w:t>льная нормативно-правовая база.</w:t>
      </w:r>
    </w:p>
    <w:p w:rsidR="00C2520D" w:rsidRPr="009A67D8" w:rsidRDefault="00C2520D" w:rsidP="00C2520D">
      <w:pPr>
        <w:pStyle w:val="a3"/>
        <w:spacing w:line="264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proofErr w:type="gramStart"/>
      <w:r w:rsidRPr="009A67D8">
        <w:rPr>
          <w:b w:val="0"/>
          <w:bCs w:val="0"/>
          <w:sz w:val="28"/>
          <w:szCs w:val="28"/>
          <w:lang w:eastAsia="en-US"/>
        </w:rPr>
        <w:t xml:space="preserve">В соответствии с указом Губернатора Архангельской области </w:t>
      </w:r>
      <w:r w:rsidRPr="009A67D8">
        <w:rPr>
          <w:b w:val="0"/>
          <w:bCs w:val="0"/>
          <w:sz w:val="28"/>
          <w:szCs w:val="28"/>
          <w:lang w:eastAsia="en-US"/>
        </w:rPr>
        <w:br/>
        <w:t>от 24 августа 2016 года № 113-у были внесены изменения в отдельные положения указа Губернатора Архангельской области от 20 ноября 2013 года № 128-у «Об оценке населением эффективности деятельности руководителей органов местного самоуправления муниципальных образований Архангельской области, государственных унитарных предприятий Архангельской области, муниципальных унитарных предприятий муниципальных образований Архангельской области, государственных учреждений Архангельской области и муниципальных</w:t>
      </w:r>
      <w:proofErr w:type="gramEnd"/>
      <w:r w:rsidRPr="009A67D8">
        <w:rPr>
          <w:b w:val="0"/>
          <w:bCs w:val="0"/>
          <w:sz w:val="28"/>
          <w:szCs w:val="28"/>
          <w:lang w:eastAsia="en-US"/>
        </w:rPr>
        <w:t xml:space="preserve"> учреждений муниципальных образований Архангельской области, акционерных обществ, контрольный пакет акций которых находится в государственной собственности Архангельской области или в муниципальной собственности муниципальных образований Архангельской области, осуществляющих оказание услуг населению муниципальных образований Архангельской области» в части соответствия с федеральной нормативно-правовой базой сроков и регламента проведения.</w:t>
      </w:r>
    </w:p>
    <w:p w:rsidR="00C2520D" w:rsidRPr="009A67D8" w:rsidRDefault="00C2520D" w:rsidP="00C2520D">
      <w:pPr>
        <w:pStyle w:val="a3"/>
        <w:spacing w:line="264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9A67D8">
        <w:rPr>
          <w:b w:val="0"/>
          <w:bCs w:val="0"/>
          <w:sz w:val="28"/>
          <w:szCs w:val="28"/>
          <w:lang w:eastAsia="en-US"/>
        </w:rPr>
        <w:t xml:space="preserve">На территории Архангельской области в соответствии с изменившимся порядком опрос населения по оценке эффективности деятельности глав муниципальных образований, а также руководителей государственных организаций, осуществляющих услуги транспортного обслуживания </w:t>
      </w:r>
      <w:r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 xml:space="preserve">и </w:t>
      </w:r>
      <w:proofErr w:type="gramStart"/>
      <w:r w:rsidRPr="009A67D8">
        <w:rPr>
          <w:b w:val="0"/>
          <w:bCs w:val="0"/>
          <w:sz w:val="28"/>
          <w:szCs w:val="28"/>
          <w:lang w:eastAsia="en-US"/>
        </w:rPr>
        <w:t>обслуживания</w:t>
      </w:r>
      <w:proofErr w:type="gramEnd"/>
      <w:r w:rsidRPr="009A67D8">
        <w:rPr>
          <w:b w:val="0"/>
          <w:bCs w:val="0"/>
          <w:sz w:val="28"/>
          <w:szCs w:val="28"/>
          <w:lang w:eastAsia="en-US"/>
        </w:rPr>
        <w:t xml:space="preserve"> автомобильных дорог, жилищно-коммунальные услуги (организация теплоснабжения, водоснабжения, водоотведения, электроснабжения, газоснабжения), проводится </w:t>
      </w:r>
      <w:r w:rsidR="00447766" w:rsidRPr="009A67D8">
        <w:rPr>
          <w:b w:val="0"/>
          <w:bCs w:val="0"/>
          <w:sz w:val="28"/>
          <w:szCs w:val="28"/>
          <w:lang w:eastAsia="en-US"/>
        </w:rPr>
        <w:t xml:space="preserve">в течение всего (отчетного) </w:t>
      </w:r>
      <w:r w:rsidR="00447766" w:rsidRPr="00447766">
        <w:rPr>
          <w:b w:val="0"/>
          <w:bCs w:val="0"/>
          <w:sz w:val="28"/>
          <w:szCs w:val="28"/>
          <w:lang w:eastAsia="en-US"/>
        </w:rPr>
        <w:t xml:space="preserve">календарного года </w:t>
      </w:r>
      <w:r w:rsidRPr="00447766">
        <w:rPr>
          <w:b w:val="0"/>
          <w:bCs w:val="0"/>
          <w:sz w:val="28"/>
          <w:szCs w:val="28"/>
          <w:lang w:eastAsia="en-US"/>
        </w:rPr>
        <w:t xml:space="preserve">с 01 января по 31 декабря включительно </w:t>
      </w:r>
      <w:r w:rsidRPr="00447766">
        <w:rPr>
          <w:b w:val="0"/>
          <w:sz w:val="28"/>
          <w:szCs w:val="28"/>
        </w:rPr>
        <w:t>в информационно-</w:t>
      </w:r>
      <w:r w:rsidRPr="009A67D8">
        <w:rPr>
          <w:b w:val="0"/>
          <w:sz w:val="28"/>
          <w:szCs w:val="28"/>
        </w:rPr>
        <w:t>телекоммуникационной сети «Интернет»</w:t>
      </w:r>
      <w:r w:rsidRPr="009A67D8">
        <w:rPr>
          <w:b w:val="0"/>
          <w:bCs w:val="0"/>
          <w:sz w:val="28"/>
          <w:szCs w:val="28"/>
          <w:lang w:eastAsia="en-US"/>
        </w:rPr>
        <w:t xml:space="preserve">. Для этих целей был создан специальный раздел и баннер со ссылкой на опрос, который был размещен </w:t>
      </w:r>
      <w:r w:rsidR="00447766">
        <w:rPr>
          <w:b w:val="0"/>
          <w:bCs w:val="0"/>
          <w:sz w:val="28"/>
          <w:szCs w:val="28"/>
          <w:lang w:eastAsia="en-US"/>
        </w:rPr>
        <w:br/>
      </w:r>
      <w:r w:rsidRPr="009A67D8">
        <w:rPr>
          <w:b w:val="0"/>
          <w:bCs w:val="0"/>
          <w:sz w:val="28"/>
          <w:szCs w:val="28"/>
          <w:lang w:eastAsia="en-US"/>
        </w:rPr>
        <w:t>на официальном сайте Правительства Архангельской области, а также на сайтах всех муниципальных образований Архангельской области.</w:t>
      </w:r>
    </w:p>
    <w:p w:rsidR="00C2520D" w:rsidRDefault="00C2520D" w:rsidP="00C2520D">
      <w:pPr>
        <w:pStyle w:val="a3"/>
        <w:spacing w:line="264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Информация о динамике участников опроса в разрезе муниципальных образований предоставлена в таблице:</w:t>
      </w:r>
    </w:p>
    <w:p w:rsidR="00C2520D" w:rsidRDefault="00C2520D" w:rsidP="00C2520D">
      <w:pPr>
        <w:pStyle w:val="a3"/>
        <w:spacing w:line="264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</w:p>
    <w:tbl>
      <w:tblPr>
        <w:tblStyle w:val="GridTableLight"/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5"/>
        <w:gridCol w:w="1246"/>
        <w:gridCol w:w="1246"/>
        <w:gridCol w:w="1246"/>
        <w:gridCol w:w="1246"/>
        <w:gridCol w:w="1246"/>
        <w:gridCol w:w="1244"/>
      </w:tblGrid>
      <w:tr w:rsidR="00C2520D" w:rsidRPr="008D2D5A" w:rsidTr="003D3B8D">
        <w:trPr>
          <w:cantSplit/>
          <w:trHeight w:val="506"/>
          <w:tblHeader/>
        </w:trPr>
        <w:tc>
          <w:tcPr>
            <w:tcW w:w="1209" w:type="pct"/>
            <w:vMerge w:val="restart"/>
            <w:shd w:val="clear" w:color="auto" w:fill="auto"/>
            <w:noWrap/>
            <w:vAlign w:val="center"/>
          </w:tcPr>
          <w:p w:rsidR="00C2520D" w:rsidRPr="008D2D5A" w:rsidRDefault="00C2520D" w:rsidP="008D2D5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2D5A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Муниципальное образование</w:t>
            </w:r>
          </w:p>
        </w:tc>
        <w:tc>
          <w:tcPr>
            <w:tcW w:w="3791" w:type="pct"/>
            <w:gridSpan w:val="6"/>
            <w:shd w:val="clear" w:color="auto" w:fill="auto"/>
            <w:noWrap/>
            <w:vAlign w:val="center"/>
          </w:tcPr>
          <w:p w:rsidR="00C2520D" w:rsidRPr="008D2D5A" w:rsidRDefault="00C2520D" w:rsidP="008D2D5A">
            <w:pPr>
              <w:jc w:val="center"/>
              <w:rPr>
                <w:bCs/>
                <w:sz w:val="22"/>
                <w:szCs w:val="22"/>
              </w:rPr>
            </w:pPr>
            <w:r w:rsidRPr="008D2D5A">
              <w:rPr>
                <w:bCs/>
                <w:sz w:val="22"/>
                <w:szCs w:val="22"/>
              </w:rPr>
              <w:t>Численность участников опроса, человек</w:t>
            </w:r>
          </w:p>
        </w:tc>
      </w:tr>
      <w:tr w:rsidR="00447766" w:rsidRPr="008D2D5A" w:rsidTr="003D3B8D">
        <w:trPr>
          <w:cantSplit/>
          <w:trHeight w:val="506"/>
          <w:tblHeader/>
        </w:trPr>
        <w:tc>
          <w:tcPr>
            <w:tcW w:w="1209" w:type="pct"/>
            <w:vMerge/>
            <w:shd w:val="clear" w:color="auto" w:fill="auto"/>
            <w:noWrap/>
            <w:vAlign w:val="center"/>
          </w:tcPr>
          <w:p w:rsidR="00447766" w:rsidRPr="008D2D5A" w:rsidRDefault="00447766" w:rsidP="008D2D5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8D2D5A" w:rsidRDefault="00447766" w:rsidP="008D2D5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2D5A">
              <w:rPr>
                <w:color w:val="000000"/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8D2D5A" w:rsidRDefault="00447766" w:rsidP="008D2D5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D2D5A">
              <w:rPr>
                <w:color w:val="000000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8D2D5A" w:rsidRDefault="00447766" w:rsidP="008D2D5A">
            <w:pPr>
              <w:jc w:val="center"/>
              <w:rPr>
                <w:sz w:val="22"/>
                <w:szCs w:val="22"/>
              </w:rPr>
            </w:pPr>
            <w:r w:rsidRPr="008D2D5A">
              <w:rPr>
                <w:sz w:val="22"/>
                <w:szCs w:val="22"/>
              </w:rPr>
              <w:t>2016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8D2D5A" w:rsidRDefault="00447766" w:rsidP="008D2D5A">
            <w:pPr>
              <w:jc w:val="center"/>
              <w:rPr>
                <w:bCs/>
                <w:sz w:val="22"/>
                <w:szCs w:val="22"/>
              </w:rPr>
            </w:pPr>
            <w:r w:rsidRPr="008D2D5A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8D2D5A" w:rsidRDefault="00447766" w:rsidP="008D2D5A">
            <w:pPr>
              <w:jc w:val="center"/>
              <w:rPr>
                <w:bCs/>
                <w:sz w:val="22"/>
                <w:szCs w:val="22"/>
              </w:rPr>
            </w:pPr>
            <w:r w:rsidRPr="008D2D5A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8D2D5A" w:rsidRDefault="00447766" w:rsidP="008D2D5A">
            <w:pPr>
              <w:jc w:val="center"/>
              <w:rPr>
                <w:bCs/>
                <w:sz w:val="22"/>
                <w:szCs w:val="22"/>
              </w:rPr>
            </w:pPr>
            <w:r w:rsidRPr="008D2D5A">
              <w:rPr>
                <w:bCs/>
                <w:sz w:val="22"/>
                <w:szCs w:val="22"/>
              </w:rPr>
              <w:t>01 июля</w:t>
            </w:r>
          </w:p>
          <w:p w:rsidR="00447766" w:rsidRPr="008D2D5A" w:rsidRDefault="00447766" w:rsidP="008D2D5A">
            <w:pPr>
              <w:jc w:val="center"/>
              <w:rPr>
                <w:bCs/>
                <w:sz w:val="22"/>
                <w:szCs w:val="22"/>
              </w:rPr>
            </w:pPr>
            <w:r w:rsidRPr="008D2D5A">
              <w:rPr>
                <w:bCs/>
                <w:sz w:val="22"/>
                <w:szCs w:val="22"/>
              </w:rPr>
              <w:t>2019 года</w:t>
            </w:r>
          </w:p>
        </w:tc>
      </w:tr>
      <w:tr w:rsidR="00447766" w:rsidRPr="003D3B8D" w:rsidTr="003D3B8D">
        <w:trPr>
          <w:cantSplit/>
          <w:trHeight w:val="425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Город Архангельск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1 816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E87ED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47766" w:rsidRPr="003D3B8D" w:rsidTr="003D3B8D">
        <w:trPr>
          <w:cantSplit/>
          <w:trHeight w:val="425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Город Коряжма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</w:t>
            </w:r>
          </w:p>
        </w:tc>
      </w:tr>
      <w:tr w:rsidR="00447766" w:rsidRPr="003D3B8D" w:rsidTr="003D3B8D">
        <w:trPr>
          <w:cantSplit/>
          <w:trHeight w:val="425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Котлас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</w:t>
            </w:r>
          </w:p>
        </w:tc>
      </w:tr>
      <w:tr w:rsidR="00447766" w:rsidRPr="003D3B8D" w:rsidTr="003D3B8D">
        <w:trPr>
          <w:cantSplit/>
          <w:trHeight w:val="425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95436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8</w:t>
            </w:r>
          </w:p>
        </w:tc>
      </w:tr>
      <w:tr w:rsidR="00447766" w:rsidRPr="003D3B8D" w:rsidTr="003D3B8D">
        <w:trPr>
          <w:cantSplit/>
          <w:trHeight w:val="425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Новая Земля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</w:t>
            </w:r>
          </w:p>
        </w:tc>
      </w:tr>
      <w:tr w:rsidR="00447766" w:rsidRPr="003D3B8D" w:rsidTr="003D3B8D">
        <w:trPr>
          <w:cantSplit/>
          <w:trHeight w:val="425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Город Новодвинск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E87ED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47766" w:rsidRPr="003D3B8D" w:rsidTr="003D3B8D">
        <w:trPr>
          <w:cantSplit/>
          <w:trHeight w:val="425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Северодвинск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E87ED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289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Вельский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95436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Верхнетоемский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95436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9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3B8D">
              <w:rPr>
                <w:color w:val="000000"/>
                <w:sz w:val="22"/>
                <w:szCs w:val="22"/>
              </w:rPr>
              <w:t>Вилегодский</w:t>
            </w:r>
            <w:proofErr w:type="spellEnd"/>
            <w:r w:rsidRPr="003D3B8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E87ED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Виноградовский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E87ED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3B8D">
              <w:rPr>
                <w:color w:val="000000"/>
                <w:sz w:val="22"/>
                <w:szCs w:val="22"/>
              </w:rPr>
              <w:t>Каргопольский</w:t>
            </w:r>
            <w:proofErr w:type="spellEnd"/>
            <w:r w:rsidRPr="003D3B8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Коношский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Котласский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95436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3B8D">
              <w:rPr>
                <w:color w:val="000000"/>
                <w:sz w:val="22"/>
                <w:szCs w:val="22"/>
              </w:rPr>
              <w:t>Красноборский</w:t>
            </w:r>
            <w:proofErr w:type="spellEnd"/>
            <w:r w:rsidRPr="003D3B8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E87ED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Ленский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95436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8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3B8D">
              <w:rPr>
                <w:color w:val="000000"/>
                <w:sz w:val="22"/>
                <w:szCs w:val="22"/>
              </w:rPr>
              <w:t>Лешуконский</w:t>
            </w:r>
            <w:proofErr w:type="spellEnd"/>
            <w:r w:rsidRPr="003D3B8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Мезенский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Няндомский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95436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9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Онежский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95436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9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Пинежский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Плесецкий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95436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7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Приморский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Устьянский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Холмогорский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E87ED0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47766" w:rsidRPr="003D3B8D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Шенкурский муниципальный район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3</w:t>
            </w:r>
          </w:p>
        </w:tc>
      </w:tr>
      <w:tr w:rsidR="00447766" w:rsidRPr="008D2D5A" w:rsidTr="003D3B8D">
        <w:trPr>
          <w:cantSplit/>
          <w:trHeight w:val="506"/>
        </w:trPr>
        <w:tc>
          <w:tcPr>
            <w:tcW w:w="1209" w:type="pct"/>
            <w:shd w:val="clear" w:color="auto" w:fill="auto"/>
            <w:noWrap/>
            <w:vAlign w:val="center"/>
            <w:hideMark/>
          </w:tcPr>
          <w:p w:rsidR="00447766" w:rsidRPr="003D3B8D" w:rsidRDefault="00447766" w:rsidP="008D2D5A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3B8D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D3B8D">
              <w:rPr>
                <w:color w:val="000000"/>
                <w:sz w:val="22"/>
                <w:szCs w:val="22"/>
                <w:lang w:eastAsia="ru-RU"/>
              </w:rPr>
              <w:t>4 353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D3B8D">
              <w:rPr>
                <w:color w:val="000000"/>
                <w:sz w:val="22"/>
                <w:szCs w:val="22"/>
                <w:lang w:eastAsia="ru-RU"/>
              </w:rPr>
              <w:t>1 352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447766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1 090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3D3B8D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1 637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47766" w:rsidRPr="008D2D5A" w:rsidRDefault="00B457D2" w:rsidP="008D2D5A">
            <w:pPr>
              <w:jc w:val="right"/>
              <w:rPr>
                <w:color w:val="000000"/>
                <w:sz w:val="22"/>
                <w:szCs w:val="22"/>
              </w:rPr>
            </w:pPr>
            <w:r w:rsidRPr="003D3B8D">
              <w:rPr>
                <w:color w:val="000000"/>
                <w:sz w:val="22"/>
                <w:szCs w:val="22"/>
              </w:rPr>
              <w:t>462</w:t>
            </w:r>
          </w:p>
        </w:tc>
      </w:tr>
    </w:tbl>
    <w:p w:rsidR="00C2520D" w:rsidRDefault="00C2520D" w:rsidP="00E3498E">
      <w:pPr>
        <w:pStyle w:val="a3"/>
        <w:spacing w:line="276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lastRenderedPageBreak/>
        <w:t>По итогам I полугодия 201</w:t>
      </w:r>
      <w:r w:rsidR="00874AC0">
        <w:rPr>
          <w:b w:val="0"/>
          <w:bCs w:val="0"/>
          <w:sz w:val="28"/>
          <w:szCs w:val="28"/>
          <w:lang w:eastAsia="en-US"/>
        </w:rPr>
        <w:t>9</w:t>
      </w:r>
      <w:r>
        <w:rPr>
          <w:b w:val="0"/>
          <w:bCs w:val="0"/>
          <w:sz w:val="28"/>
          <w:szCs w:val="28"/>
          <w:lang w:eastAsia="en-US"/>
        </w:rPr>
        <w:t xml:space="preserve"> года наблюдается резкое снижение числа респондентов по сравнению с аналогичным периодом предыдущих годов</w:t>
      </w:r>
      <w:r w:rsidRPr="00756237">
        <w:rPr>
          <w:b w:val="0"/>
          <w:bCs w:val="0"/>
          <w:sz w:val="28"/>
          <w:szCs w:val="28"/>
          <w:lang w:eastAsia="en-US"/>
        </w:rPr>
        <w:t xml:space="preserve">. </w:t>
      </w:r>
      <w:r w:rsidR="00543B32">
        <w:rPr>
          <w:b w:val="0"/>
          <w:bCs w:val="0"/>
          <w:sz w:val="28"/>
          <w:szCs w:val="28"/>
          <w:lang w:eastAsia="en-US"/>
        </w:rPr>
        <w:br/>
      </w:r>
      <w:bookmarkStart w:id="0" w:name="_GoBack"/>
      <w:bookmarkEnd w:id="0"/>
      <w:r>
        <w:rPr>
          <w:b w:val="0"/>
          <w:bCs w:val="0"/>
          <w:sz w:val="28"/>
          <w:szCs w:val="28"/>
          <w:lang w:eastAsia="en-US"/>
        </w:rPr>
        <w:t xml:space="preserve">С целью увеличения числа опрошенных министерством совместно с органами местного самоуправления ведется </w:t>
      </w:r>
      <w:r w:rsidR="00874AC0">
        <w:rPr>
          <w:b w:val="0"/>
          <w:bCs w:val="0"/>
          <w:sz w:val="28"/>
          <w:szCs w:val="28"/>
          <w:lang w:eastAsia="en-US"/>
        </w:rPr>
        <w:t>работа по популяризации опроса.</w:t>
      </w:r>
    </w:p>
    <w:p w:rsidR="00C2520D" w:rsidRDefault="00C2520D" w:rsidP="00E3498E">
      <w:pPr>
        <w:pStyle w:val="a3"/>
        <w:spacing w:line="276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На 01 июля 201</w:t>
      </w:r>
      <w:r w:rsidR="00E3498E">
        <w:rPr>
          <w:b w:val="0"/>
          <w:bCs w:val="0"/>
          <w:sz w:val="28"/>
          <w:szCs w:val="28"/>
          <w:lang w:eastAsia="en-US"/>
        </w:rPr>
        <w:t>9</w:t>
      </w:r>
      <w:r>
        <w:rPr>
          <w:b w:val="0"/>
          <w:bCs w:val="0"/>
          <w:sz w:val="28"/>
          <w:szCs w:val="28"/>
          <w:lang w:eastAsia="en-US"/>
        </w:rPr>
        <w:t xml:space="preserve"> года только в </w:t>
      </w:r>
      <w:r w:rsidR="00E3498E">
        <w:rPr>
          <w:b w:val="0"/>
          <w:bCs w:val="0"/>
          <w:sz w:val="28"/>
          <w:szCs w:val="28"/>
          <w:lang w:eastAsia="en-US"/>
        </w:rPr>
        <w:t>Северодвинске</w:t>
      </w:r>
      <w:r>
        <w:rPr>
          <w:b w:val="0"/>
          <w:bCs w:val="0"/>
          <w:sz w:val="28"/>
          <w:szCs w:val="28"/>
          <w:lang w:eastAsia="en-US"/>
        </w:rPr>
        <w:t xml:space="preserve"> приня</w:t>
      </w:r>
      <w:r w:rsidR="00E3498E">
        <w:rPr>
          <w:b w:val="0"/>
          <w:bCs w:val="0"/>
          <w:sz w:val="28"/>
          <w:szCs w:val="28"/>
          <w:lang w:eastAsia="en-US"/>
        </w:rPr>
        <w:t xml:space="preserve">ло участие </w:t>
      </w:r>
      <w:r w:rsidR="00E3498E">
        <w:rPr>
          <w:b w:val="0"/>
          <w:bCs w:val="0"/>
          <w:sz w:val="28"/>
          <w:szCs w:val="28"/>
          <w:lang w:eastAsia="en-US"/>
        </w:rPr>
        <w:br/>
        <w:t>в голосовании более 2</w:t>
      </w:r>
      <w:r>
        <w:rPr>
          <w:b w:val="0"/>
          <w:bCs w:val="0"/>
          <w:sz w:val="28"/>
          <w:szCs w:val="28"/>
          <w:lang w:eastAsia="en-US"/>
        </w:rPr>
        <w:t>00 человек. В 1</w:t>
      </w:r>
      <w:r w:rsidR="00E3498E">
        <w:rPr>
          <w:b w:val="0"/>
          <w:bCs w:val="0"/>
          <w:sz w:val="28"/>
          <w:szCs w:val="28"/>
          <w:lang w:eastAsia="en-US"/>
        </w:rPr>
        <w:t>9</w:t>
      </w:r>
      <w:r>
        <w:rPr>
          <w:b w:val="0"/>
          <w:bCs w:val="0"/>
          <w:sz w:val="28"/>
          <w:szCs w:val="28"/>
          <w:lang w:eastAsia="en-US"/>
        </w:rPr>
        <w:t xml:space="preserve"> муниципальных образованиях </w:t>
      </w:r>
      <w:r w:rsidR="00E3498E">
        <w:rPr>
          <w:b w:val="0"/>
          <w:bCs w:val="0"/>
          <w:sz w:val="28"/>
          <w:szCs w:val="28"/>
          <w:lang w:eastAsia="en-US"/>
        </w:rPr>
        <w:br/>
      </w:r>
      <w:r>
        <w:rPr>
          <w:b w:val="0"/>
          <w:bCs w:val="0"/>
          <w:sz w:val="28"/>
          <w:szCs w:val="28"/>
          <w:lang w:eastAsia="en-US"/>
        </w:rPr>
        <w:t>приняло участи</w:t>
      </w:r>
      <w:r w:rsidR="005B7ECF">
        <w:rPr>
          <w:b w:val="0"/>
          <w:bCs w:val="0"/>
          <w:sz w:val="28"/>
          <w:szCs w:val="28"/>
          <w:lang w:eastAsia="en-US"/>
        </w:rPr>
        <w:t>е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="005B7ECF">
        <w:rPr>
          <w:b w:val="0"/>
          <w:bCs w:val="0"/>
          <w:sz w:val="28"/>
          <w:szCs w:val="28"/>
          <w:lang w:eastAsia="en-US"/>
        </w:rPr>
        <w:t xml:space="preserve">не </w:t>
      </w:r>
      <w:r>
        <w:rPr>
          <w:b w:val="0"/>
          <w:bCs w:val="0"/>
          <w:sz w:val="28"/>
          <w:szCs w:val="28"/>
          <w:lang w:eastAsia="en-US"/>
        </w:rPr>
        <w:t xml:space="preserve">более </w:t>
      </w:r>
      <w:r w:rsidRPr="009F295D">
        <w:rPr>
          <w:b w:val="0"/>
          <w:bCs w:val="0"/>
          <w:sz w:val="28"/>
          <w:szCs w:val="28"/>
          <w:lang w:eastAsia="en-US"/>
        </w:rPr>
        <w:t xml:space="preserve">10 человек, что говорит о </w:t>
      </w:r>
      <w:proofErr w:type="spellStart"/>
      <w:r w:rsidRPr="009F295D">
        <w:rPr>
          <w:b w:val="0"/>
          <w:bCs w:val="0"/>
          <w:sz w:val="28"/>
          <w:szCs w:val="28"/>
          <w:lang w:eastAsia="en-US"/>
        </w:rPr>
        <w:t>нерепрезентативности</w:t>
      </w:r>
      <w:proofErr w:type="spellEnd"/>
      <w:r w:rsidRPr="009F295D">
        <w:rPr>
          <w:b w:val="0"/>
          <w:bCs w:val="0"/>
          <w:sz w:val="28"/>
          <w:szCs w:val="28"/>
          <w:lang w:eastAsia="en-US"/>
        </w:rPr>
        <w:t xml:space="preserve"> выборки.</w:t>
      </w:r>
    </w:p>
    <w:p w:rsidR="00C2520D" w:rsidRDefault="00C2520D" w:rsidP="00874A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опроса по каждому направлению оценки приведены ниже. «Звездочкой» отмечены те муниципальные районы, </w:t>
      </w:r>
      <w:r>
        <w:rPr>
          <w:sz w:val="28"/>
          <w:szCs w:val="28"/>
        </w:rPr>
        <w:br/>
        <w:t>в которых выборка является нерепрезентативной.</w:t>
      </w: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  <w:r w:rsidRPr="00954C9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954C9B">
        <w:rPr>
          <w:sz w:val="28"/>
          <w:szCs w:val="28"/>
        </w:rPr>
        <w:t xml:space="preserve">Удовлетворенность населения организацией транспортного обслуживания, </w:t>
      </w:r>
      <w:r>
        <w:rPr>
          <w:sz w:val="28"/>
          <w:szCs w:val="28"/>
        </w:rPr>
        <w:t>процент</w:t>
      </w:r>
      <w:r w:rsidRPr="00954C9B">
        <w:rPr>
          <w:sz w:val="28"/>
          <w:szCs w:val="28"/>
        </w:rPr>
        <w:t xml:space="preserve"> от числа </w:t>
      </w:r>
      <w:proofErr w:type="gramStart"/>
      <w:r w:rsidRPr="00954C9B"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>.</w:t>
      </w:r>
    </w:p>
    <w:p w:rsidR="008232C7" w:rsidRDefault="008232C7" w:rsidP="008232C7">
      <w:pPr>
        <w:spacing w:line="26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9495" cy="3960000"/>
            <wp:effectExtent l="0" t="0" r="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</w:p>
    <w:p w:rsidR="00123E94" w:rsidRDefault="00123E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5F4DA5">
        <w:rPr>
          <w:sz w:val="28"/>
          <w:szCs w:val="28"/>
        </w:rPr>
        <w:t>Удовлетворенность населения качеством автомобильных дорог, процент от числа опрошенных.</w:t>
      </w:r>
    </w:p>
    <w:p w:rsidR="008232C7" w:rsidRDefault="008232C7" w:rsidP="008232C7">
      <w:pPr>
        <w:spacing w:line="26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9495" cy="3960000"/>
            <wp:effectExtent l="0" t="0" r="1460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  <w:r w:rsidRPr="00E4503E">
        <w:rPr>
          <w:sz w:val="28"/>
          <w:szCs w:val="28"/>
        </w:rPr>
        <w:t xml:space="preserve">3. Удовлетворенность населения уровнем организации теплоснабжения, процент от числа </w:t>
      </w:r>
      <w:proofErr w:type="gramStart"/>
      <w:r w:rsidRPr="00E4503E">
        <w:rPr>
          <w:sz w:val="28"/>
          <w:szCs w:val="28"/>
        </w:rPr>
        <w:t>опрошенных</w:t>
      </w:r>
      <w:proofErr w:type="gramEnd"/>
      <w:r w:rsidRPr="00E4503E">
        <w:rPr>
          <w:sz w:val="28"/>
          <w:szCs w:val="28"/>
        </w:rPr>
        <w:t>.</w:t>
      </w:r>
    </w:p>
    <w:p w:rsidR="008232C7" w:rsidRDefault="008232C7" w:rsidP="008232C7">
      <w:pPr>
        <w:spacing w:line="26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9495" cy="3960000"/>
            <wp:effectExtent l="0" t="0" r="14605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  <w:r w:rsidRPr="00E4503E">
        <w:rPr>
          <w:sz w:val="28"/>
          <w:szCs w:val="28"/>
        </w:rPr>
        <w:lastRenderedPageBreak/>
        <w:t xml:space="preserve">4. Удовлетворенность населения уровнем организации водоснабжения (водоотведения), процент от числа </w:t>
      </w:r>
      <w:proofErr w:type="gramStart"/>
      <w:r w:rsidRPr="00E4503E">
        <w:rPr>
          <w:sz w:val="28"/>
          <w:szCs w:val="28"/>
        </w:rPr>
        <w:t>опрошенных</w:t>
      </w:r>
      <w:proofErr w:type="gramEnd"/>
      <w:r w:rsidRPr="00E4503E">
        <w:rPr>
          <w:sz w:val="28"/>
          <w:szCs w:val="28"/>
        </w:rPr>
        <w:t>.</w:t>
      </w:r>
    </w:p>
    <w:p w:rsidR="008232C7" w:rsidRDefault="00F243F9" w:rsidP="008232C7">
      <w:pPr>
        <w:spacing w:line="26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000" cy="3960000"/>
            <wp:effectExtent l="0" t="0" r="14605" b="2159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  <w:r w:rsidRPr="00E4503E">
        <w:rPr>
          <w:sz w:val="28"/>
          <w:szCs w:val="28"/>
        </w:rPr>
        <w:t xml:space="preserve">5. Удовлетворенность населения уровнем организации электроснабжения, процент от числа </w:t>
      </w:r>
      <w:proofErr w:type="gramStart"/>
      <w:r w:rsidRPr="00E4503E">
        <w:rPr>
          <w:sz w:val="28"/>
          <w:szCs w:val="28"/>
        </w:rPr>
        <w:t>опрошенных</w:t>
      </w:r>
      <w:proofErr w:type="gramEnd"/>
      <w:r w:rsidRPr="00E4503E">
        <w:rPr>
          <w:sz w:val="28"/>
          <w:szCs w:val="28"/>
        </w:rPr>
        <w:t>.</w:t>
      </w:r>
    </w:p>
    <w:p w:rsidR="008D2D5A" w:rsidRDefault="008D2D5A" w:rsidP="008D2D5A">
      <w:pPr>
        <w:spacing w:line="26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000" cy="3960000"/>
            <wp:effectExtent l="0" t="0" r="14605" b="215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  <w:r w:rsidRPr="00E4503E">
        <w:rPr>
          <w:sz w:val="28"/>
          <w:szCs w:val="28"/>
        </w:rPr>
        <w:lastRenderedPageBreak/>
        <w:t xml:space="preserve">6. Удовлетворенность населения уровнем организации газоснабжения, процент от числа </w:t>
      </w:r>
      <w:proofErr w:type="gramStart"/>
      <w:r w:rsidRPr="00E4503E">
        <w:rPr>
          <w:sz w:val="28"/>
          <w:szCs w:val="28"/>
        </w:rPr>
        <w:t>опрошенных</w:t>
      </w:r>
      <w:proofErr w:type="gramEnd"/>
      <w:r w:rsidRPr="00E4503E">
        <w:rPr>
          <w:sz w:val="28"/>
          <w:szCs w:val="28"/>
        </w:rPr>
        <w:t>.</w:t>
      </w:r>
    </w:p>
    <w:p w:rsidR="008D2D5A" w:rsidRDefault="008D2D5A" w:rsidP="008D2D5A">
      <w:pPr>
        <w:spacing w:line="26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000" cy="3960000"/>
            <wp:effectExtent l="0" t="0" r="14605" b="2159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FA37B5">
        <w:rPr>
          <w:sz w:val="28"/>
          <w:szCs w:val="28"/>
        </w:rPr>
        <w:t xml:space="preserve">Удовлетворенность населения </w:t>
      </w:r>
      <w:r>
        <w:rPr>
          <w:sz w:val="28"/>
          <w:szCs w:val="28"/>
        </w:rPr>
        <w:t>деятельностью главы муниципального образования</w:t>
      </w:r>
      <w:r w:rsidRPr="00FA37B5">
        <w:rPr>
          <w:sz w:val="28"/>
          <w:szCs w:val="28"/>
        </w:rPr>
        <w:t xml:space="preserve">, </w:t>
      </w:r>
      <w:r>
        <w:rPr>
          <w:sz w:val="28"/>
          <w:szCs w:val="28"/>
        </w:rPr>
        <w:t>процент</w:t>
      </w:r>
      <w:r w:rsidRPr="00FA37B5">
        <w:rPr>
          <w:sz w:val="28"/>
          <w:szCs w:val="28"/>
        </w:rPr>
        <w:t xml:space="preserve"> от числа </w:t>
      </w:r>
      <w:proofErr w:type="gramStart"/>
      <w:r w:rsidRPr="00FA37B5"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>.</w:t>
      </w:r>
    </w:p>
    <w:p w:rsidR="008D2D5A" w:rsidRDefault="008D2D5A" w:rsidP="008D2D5A">
      <w:pPr>
        <w:spacing w:line="26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000" cy="3960000"/>
            <wp:effectExtent l="0" t="0" r="14605" b="2159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</w:p>
    <w:p w:rsidR="00874AC0" w:rsidRDefault="00874AC0" w:rsidP="00874A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Pr="00FA37B5">
        <w:rPr>
          <w:sz w:val="28"/>
          <w:szCs w:val="28"/>
        </w:rPr>
        <w:t xml:space="preserve">Удовлетворенность населения </w:t>
      </w:r>
      <w:r>
        <w:rPr>
          <w:sz w:val="28"/>
          <w:szCs w:val="28"/>
        </w:rPr>
        <w:t>деятельностью</w:t>
      </w:r>
      <w:r w:rsidRPr="00872A75">
        <w:rPr>
          <w:sz w:val="28"/>
          <w:szCs w:val="28"/>
        </w:rPr>
        <w:t xml:space="preserve"> представительного органа муниципального образования (депутатов)</w:t>
      </w:r>
      <w:r w:rsidRPr="00FA37B5">
        <w:rPr>
          <w:sz w:val="28"/>
          <w:szCs w:val="28"/>
        </w:rPr>
        <w:t xml:space="preserve">, </w:t>
      </w:r>
      <w:r>
        <w:rPr>
          <w:sz w:val="28"/>
          <w:szCs w:val="28"/>
        </w:rPr>
        <w:t>процент</w:t>
      </w:r>
      <w:r w:rsidRPr="00FA37B5">
        <w:rPr>
          <w:sz w:val="28"/>
          <w:szCs w:val="28"/>
        </w:rPr>
        <w:t xml:space="preserve"> от числа опрошенных</w:t>
      </w:r>
      <w:r>
        <w:rPr>
          <w:sz w:val="28"/>
          <w:szCs w:val="28"/>
        </w:rPr>
        <w:t>.</w:t>
      </w:r>
    </w:p>
    <w:p w:rsidR="00874AC0" w:rsidRDefault="008D2D5A" w:rsidP="008D2D5A">
      <w:pPr>
        <w:spacing w:line="26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000" cy="3960000"/>
            <wp:effectExtent l="0" t="0" r="14605" b="2159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4AC0" w:rsidRPr="00C717C1" w:rsidRDefault="00874AC0" w:rsidP="00874AC0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874AC0" w:rsidRPr="00C717C1" w:rsidSect="003454A7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A7" w:rsidRDefault="003454A7" w:rsidP="003454A7">
      <w:r>
        <w:separator/>
      </w:r>
    </w:p>
  </w:endnote>
  <w:endnote w:type="continuationSeparator" w:id="0">
    <w:p w:rsidR="003454A7" w:rsidRDefault="003454A7" w:rsidP="0034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A7" w:rsidRDefault="003454A7" w:rsidP="003454A7">
      <w:r>
        <w:separator/>
      </w:r>
    </w:p>
  </w:footnote>
  <w:footnote w:type="continuationSeparator" w:id="0">
    <w:p w:rsidR="003454A7" w:rsidRDefault="003454A7" w:rsidP="00345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9724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54A7" w:rsidRPr="003454A7" w:rsidRDefault="009C50FE">
        <w:pPr>
          <w:pStyle w:val="a7"/>
          <w:jc w:val="center"/>
          <w:rPr>
            <w:sz w:val="24"/>
            <w:szCs w:val="24"/>
          </w:rPr>
        </w:pPr>
        <w:r w:rsidRPr="003454A7">
          <w:rPr>
            <w:sz w:val="24"/>
            <w:szCs w:val="24"/>
          </w:rPr>
          <w:fldChar w:fldCharType="begin"/>
        </w:r>
        <w:r w:rsidR="003454A7" w:rsidRPr="003454A7">
          <w:rPr>
            <w:sz w:val="24"/>
            <w:szCs w:val="24"/>
          </w:rPr>
          <w:instrText>PAGE   \* MERGEFORMAT</w:instrText>
        </w:r>
        <w:r w:rsidRPr="003454A7">
          <w:rPr>
            <w:sz w:val="24"/>
            <w:szCs w:val="24"/>
          </w:rPr>
          <w:fldChar w:fldCharType="separate"/>
        </w:r>
        <w:r w:rsidR="00176993">
          <w:rPr>
            <w:noProof/>
            <w:sz w:val="24"/>
            <w:szCs w:val="24"/>
          </w:rPr>
          <w:t>3</w:t>
        </w:r>
        <w:r w:rsidRPr="003454A7">
          <w:rPr>
            <w:sz w:val="24"/>
            <w:szCs w:val="24"/>
          </w:rPr>
          <w:fldChar w:fldCharType="end"/>
        </w:r>
      </w:p>
    </w:sdtContent>
  </w:sdt>
  <w:p w:rsidR="003454A7" w:rsidRPr="003454A7" w:rsidRDefault="003454A7">
    <w:pPr>
      <w:pStyle w:val="a7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46"/>
    <w:rsid w:val="00123E94"/>
    <w:rsid w:val="00176993"/>
    <w:rsid w:val="003454A7"/>
    <w:rsid w:val="003D3B8D"/>
    <w:rsid w:val="00447766"/>
    <w:rsid w:val="00543B32"/>
    <w:rsid w:val="0059413A"/>
    <w:rsid w:val="005B7ECF"/>
    <w:rsid w:val="008232C7"/>
    <w:rsid w:val="00874AC0"/>
    <w:rsid w:val="008D2D5A"/>
    <w:rsid w:val="00954360"/>
    <w:rsid w:val="009A70C9"/>
    <w:rsid w:val="009C50FE"/>
    <w:rsid w:val="00B35DFB"/>
    <w:rsid w:val="00B43A46"/>
    <w:rsid w:val="00B457D2"/>
    <w:rsid w:val="00C2520D"/>
    <w:rsid w:val="00C717C1"/>
    <w:rsid w:val="00E3498E"/>
    <w:rsid w:val="00E87ED0"/>
    <w:rsid w:val="00F2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520D"/>
    <w:pPr>
      <w:jc w:val="center"/>
    </w:pPr>
    <w:rPr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252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C2520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C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5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54A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5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54A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520D"/>
    <w:pPr>
      <w:jc w:val="center"/>
    </w:pPr>
    <w:rPr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252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C25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C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5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54A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5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54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chav\Desktop\&#1064;&#1072;&#1073;&#1083;&#1086;&#1085;%20&#1042;&#1086;&#1088;&#1076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sk1235\&#1084;&#1080;&#1085;&#1101;&#1082;&#1086;&#1085;&#1086;&#1084;&#1088;&#1072;&#1079;&#1074;&#1080;&#1090;&#1080;&#1103;_&#1072;&#1086;\&#1059;&#1087;&#1088;&#1072;&#1074;&#1083;&#1077;&#1085;&#1080;&#1077;_&#1087;&#1088;&#1086;&#1084;&#1099;&#1096;&#1083;&#1077;&#1085;&#1085;&#1086;&#1089;&#1090;&#1080;\&#1054;&#1058;&#1044;&#1045;&#1051;%20&#1058;&#1045;&#1056;&#1056;&#1040;&#1047;&#1042;&#1048;&#1058;&#1048;&#1071;\&#1052;&#1091;&#1085;.&#1086;&#1094;&#1077;&#1085;&#1082;&#1072;%20+%20&#1050;&#1086;&#1085;&#1082;&#1091;&#1088;&#1089;\&#1052;&#1059;&#1053;&#1048;&#1062;&#1048;&#1055;&#1040;&#1051;&#1068;&#1053;&#1040;&#1071;_&#1054;&#1062;&#1045;&#1053;&#1050;&#1040;\2019\it%20&#1086;&#1087;&#1088;&#1086;&#1089;&#1099;\&#1054;&#1090;&#1095;&#1077;&#1090;%20&#1079;&#1072;%201%20&#1087;&#1086;&#1083;&#1091;&#1075;&#1086;&#1076;&#1080;&#1077;%202019\it-&#1086;&#1087;&#1088;&#1086;&#1089;&#1099;%2001.07.19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sk1235\&#1084;&#1080;&#1085;&#1101;&#1082;&#1086;&#1085;&#1086;&#1084;&#1088;&#1072;&#1079;&#1074;&#1080;&#1090;&#1080;&#1103;_&#1072;&#1086;\&#1059;&#1087;&#1088;&#1072;&#1074;&#1083;&#1077;&#1085;&#1080;&#1077;_&#1087;&#1088;&#1086;&#1084;&#1099;&#1096;&#1083;&#1077;&#1085;&#1085;&#1086;&#1089;&#1090;&#1080;\&#1054;&#1058;&#1044;&#1045;&#1051;%20&#1058;&#1045;&#1056;&#1056;&#1040;&#1047;&#1042;&#1048;&#1058;&#1048;&#1071;\&#1052;&#1091;&#1085;.&#1086;&#1094;&#1077;&#1085;&#1082;&#1072;%20+%20&#1050;&#1086;&#1085;&#1082;&#1091;&#1088;&#1089;\&#1052;&#1059;&#1053;&#1048;&#1062;&#1048;&#1055;&#1040;&#1051;&#1068;&#1053;&#1040;&#1071;_&#1054;&#1062;&#1045;&#1053;&#1050;&#1040;\2019\it%20&#1086;&#1087;&#1088;&#1086;&#1089;&#1099;\&#1054;&#1090;&#1095;&#1077;&#1090;%20&#1079;&#1072;%201%20&#1087;&#1086;&#1083;&#1091;&#1075;&#1086;&#1076;&#1080;&#1077;%202019\it-&#1086;&#1087;&#1088;&#1086;&#1089;&#1099;%2001.07.19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sk1235\&#1084;&#1080;&#1085;&#1101;&#1082;&#1086;&#1085;&#1086;&#1084;&#1088;&#1072;&#1079;&#1074;&#1080;&#1090;&#1080;&#1103;_&#1072;&#1086;\&#1059;&#1087;&#1088;&#1072;&#1074;&#1083;&#1077;&#1085;&#1080;&#1077;_&#1087;&#1088;&#1086;&#1084;&#1099;&#1096;&#1083;&#1077;&#1085;&#1085;&#1086;&#1089;&#1090;&#1080;\&#1054;&#1058;&#1044;&#1045;&#1051;%20&#1058;&#1045;&#1056;&#1056;&#1040;&#1047;&#1042;&#1048;&#1058;&#1048;&#1071;\&#1052;&#1091;&#1085;.&#1086;&#1094;&#1077;&#1085;&#1082;&#1072;%20+%20&#1050;&#1086;&#1085;&#1082;&#1091;&#1088;&#1089;\&#1052;&#1059;&#1053;&#1048;&#1062;&#1048;&#1055;&#1040;&#1051;&#1068;&#1053;&#1040;&#1071;_&#1054;&#1062;&#1045;&#1053;&#1050;&#1040;\2019\it%20&#1086;&#1087;&#1088;&#1086;&#1089;&#1099;\&#1054;&#1090;&#1095;&#1077;&#1090;%20&#1079;&#1072;%201%20&#1087;&#1086;&#1083;&#1091;&#1075;&#1086;&#1076;&#1080;&#1077;%202019\it-&#1086;&#1087;&#1088;&#1086;&#1089;&#1099;%2001.07.19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sk1235\&#1084;&#1080;&#1085;&#1101;&#1082;&#1086;&#1085;&#1086;&#1084;&#1088;&#1072;&#1079;&#1074;&#1080;&#1090;&#1080;&#1103;_&#1072;&#1086;\&#1059;&#1087;&#1088;&#1072;&#1074;&#1083;&#1077;&#1085;&#1080;&#1077;_&#1087;&#1088;&#1086;&#1084;&#1099;&#1096;&#1083;&#1077;&#1085;&#1085;&#1086;&#1089;&#1090;&#1080;\&#1054;&#1058;&#1044;&#1045;&#1051;%20&#1058;&#1045;&#1056;&#1056;&#1040;&#1047;&#1042;&#1048;&#1058;&#1048;&#1071;\&#1052;&#1091;&#1085;.&#1086;&#1094;&#1077;&#1085;&#1082;&#1072;%20+%20&#1050;&#1086;&#1085;&#1082;&#1091;&#1088;&#1089;\&#1052;&#1059;&#1053;&#1048;&#1062;&#1048;&#1055;&#1040;&#1051;&#1068;&#1053;&#1040;&#1071;_&#1054;&#1062;&#1045;&#1053;&#1050;&#1040;\2019\it%20&#1086;&#1087;&#1088;&#1086;&#1089;&#1099;\&#1054;&#1090;&#1095;&#1077;&#1090;%20&#1079;&#1072;%201%20&#1087;&#1086;&#1083;&#1091;&#1075;&#1086;&#1076;&#1080;&#1077;%202019\it-&#1086;&#1087;&#1088;&#1086;&#1089;&#1099;%2001.07.19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sk1235\&#1084;&#1080;&#1085;&#1101;&#1082;&#1086;&#1085;&#1086;&#1084;&#1088;&#1072;&#1079;&#1074;&#1080;&#1090;&#1080;&#1103;_&#1072;&#1086;\&#1059;&#1087;&#1088;&#1072;&#1074;&#1083;&#1077;&#1085;&#1080;&#1077;_&#1087;&#1088;&#1086;&#1084;&#1099;&#1096;&#1083;&#1077;&#1085;&#1085;&#1086;&#1089;&#1090;&#1080;\&#1054;&#1058;&#1044;&#1045;&#1051;%20&#1058;&#1045;&#1056;&#1056;&#1040;&#1047;&#1042;&#1048;&#1058;&#1048;&#1071;\&#1052;&#1091;&#1085;.&#1086;&#1094;&#1077;&#1085;&#1082;&#1072;%20+%20&#1050;&#1086;&#1085;&#1082;&#1091;&#1088;&#1089;\&#1052;&#1059;&#1053;&#1048;&#1062;&#1048;&#1055;&#1040;&#1051;&#1068;&#1053;&#1040;&#1071;_&#1054;&#1062;&#1045;&#1053;&#1050;&#1040;\2019\it%20&#1086;&#1087;&#1088;&#1086;&#1089;&#1099;\&#1054;&#1090;&#1095;&#1077;&#1090;%20&#1079;&#1072;%201%20&#1087;&#1086;&#1083;&#1091;&#1075;&#1086;&#1076;&#1080;&#1077;%202019\it-&#1086;&#1087;&#1088;&#1086;&#1089;&#1099;%2001.07.19.xls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Dsk1235\&#1084;&#1080;&#1085;&#1101;&#1082;&#1086;&#1085;&#1086;&#1084;&#1088;&#1072;&#1079;&#1074;&#1080;&#1090;&#1080;&#1103;_&#1072;&#1086;\&#1059;&#1087;&#1088;&#1072;&#1074;&#1083;&#1077;&#1085;&#1080;&#1077;_&#1087;&#1088;&#1086;&#1084;&#1099;&#1096;&#1083;&#1077;&#1085;&#1085;&#1086;&#1089;&#1090;&#1080;\&#1054;&#1058;&#1044;&#1045;&#1051;%20&#1058;&#1045;&#1056;&#1056;&#1040;&#1047;&#1042;&#1048;&#1058;&#1048;&#1071;\&#1052;&#1091;&#1085;.&#1086;&#1094;&#1077;&#1085;&#1082;&#1072;%20+%20&#1050;&#1086;&#1085;&#1082;&#1091;&#1088;&#1089;\&#1052;&#1059;&#1053;&#1048;&#1062;&#1048;&#1055;&#1040;&#1051;&#1068;&#1053;&#1040;&#1071;_&#1054;&#1062;&#1045;&#1053;&#1050;&#1040;\2019\it%20&#1086;&#1087;&#1088;&#1086;&#1089;&#1099;\&#1054;&#1090;&#1095;&#1077;&#1090;%20&#1079;&#1072;%201%20&#1087;&#1086;&#1083;&#1091;&#1075;&#1086;&#1076;&#1080;&#1077;%202019\it-&#1086;&#1087;&#1088;&#1086;&#1089;&#1099;%2001.07.19.xls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Dsk1235\&#1084;&#1080;&#1085;&#1101;&#1082;&#1086;&#1085;&#1086;&#1084;&#1088;&#1072;&#1079;&#1074;&#1080;&#1090;&#1080;&#1103;_&#1072;&#1086;\&#1059;&#1087;&#1088;&#1072;&#1074;&#1083;&#1077;&#1085;&#1080;&#1077;_&#1087;&#1088;&#1086;&#1084;&#1099;&#1096;&#1083;&#1077;&#1085;&#1085;&#1086;&#1089;&#1090;&#1080;\&#1054;&#1058;&#1044;&#1045;&#1051;%20&#1058;&#1045;&#1056;&#1056;&#1040;&#1047;&#1042;&#1048;&#1058;&#1048;&#1071;\&#1052;&#1091;&#1085;.&#1086;&#1094;&#1077;&#1085;&#1082;&#1072;%20+%20&#1050;&#1086;&#1085;&#1082;&#1091;&#1088;&#1089;\&#1052;&#1059;&#1053;&#1048;&#1062;&#1048;&#1055;&#1040;&#1051;&#1068;&#1053;&#1040;&#1071;_&#1054;&#1062;&#1045;&#1053;&#1050;&#1040;\2019\it%20&#1086;&#1087;&#1088;&#1086;&#1089;&#1099;\&#1054;&#1090;&#1095;&#1077;&#1090;%20&#1079;&#1072;%201%20&#1087;&#1086;&#1083;&#1091;&#1075;&#1086;&#1076;&#1080;&#1077;%202019\it-&#1086;&#1087;&#1088;&#1086;&#1089;&#1099;%2001.07.19.xls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Dsk1235\&#1084;&#1080;&#1085;&#1101;&#1082;&#1086;&#1085;&#1086;&#1084;&#1088;&#1072;&#1079;&#1074;&#1080;&#1090;&#1080;&#1103;_&#1072;&#1086;\&#1059;&#1087;&#1088;&#1072;&#1074;&#1083;&#1077;&#1085;&#1080;&#1077;_&#1087;&#1088;&#1086;&#1084;&#1099;&#1096;&#1083;&#1077;&#1085;&#1085;&#1086;&#1089;&#1090;&#1080;\&#1054;&#1058;&#1044;&#1045;&#1051;%20&#1058;&#1045;&#1056;&#1056;&#1040;&#1047;&#1042;&#1048;&#1058;&#1048;&#1071;\&#1052;&#1091;&#1085;.&#1086;&#1094;&#1077;&#1085;&#1082;&#1072;%20+%20&#1050;&#1086;&#1085;&#1082;&#1091;&#1088;&#1089;\&#1052;&#1059;&#1053;&#1048;&#1062;&#1048;&#1055;&#1040;&#1051;&#1068;&#1053;&#1040;&#1071;_&#1054;&#1062;&#1045;&#1053;&#1050;&#1040;\2019\it%20&#1086;&#1087;&#1088;&#1086;&#1089;&#1099;\&#1054;&#1090;&#1095;&#1077;&#1090;%20&#1079;&#1072;%201%20&#1087;&#1086;&#1083;&#1091;&#1075;&#1086;&#1076;&#1080;&#1077;%202019\it-&#1086;&#1087;&#1088;&#1086;&#1089;&#1099;%2001.07.19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'Diag 17-18'!$B$32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'Diag 17-18'!$A$33:$A$58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17-18'!$B$33:$B$58</c:f>
              <c:numCache>
                <c:formatCode>0.00%</c:formatCode>
                <c:ptCount val="26"/>
                <c:pt idx="0">
                  <c:v>0.18461538461538468</c:v>
                </c:pt>
                <c:pt idx="1">
                  <c:v>0</c:v>
                </c:pt>
                <c:pt idx="2">
                  <c:v>0.43478260869565227</c:v>
                </c:pt>
                <c:pt idx="3">
                  <c:v>1</c:v>
                </c:pt>
                <c:pt idx="4">
                  <c:v>0</c:v>
                </c:pt>
                <c:pt idx="5">
                  <c:v>0.72727272727272729</c:v>
                </c:pt>
                <c:pt idx="6">
                  <c:v>0.61290322580645151</c:v>
                </c:pt>
                <c:pt idx="7">
                  <c:v>0.3093220338983052</c:v>
                </c:pt>
                <c:pt idx="8">
                  <c:v>9.9173553719008253E-2</c:v>
                </c:pt>
                <c:pt idx="9">
                  <c:v>0.27272727272727276</c:v>
                </c:pt>
                <c:pt idx="10">
                  <c:v>0.75000000000000011</c:v>
                </c:pt>
                <c:pt idx="11">
                  <c:v>0.18181818181818188</c:v>
                </c:pt>
                <c:pt idx="12">
                  <c:v>0.5</c:v>
                </c:pt>
                <c:pt idx="13">
                  <c:v>0.77777777777777779</c:v>
                </c:pt>
                <c:pt idx="14">
                  <c:v>0.3636363636363637</c:v>
                </c:pt>
                <c:pt idx="15">
                  <c:v>0.5</c:v>
                </c:pt>
                <c:pt idx="16">
                  <c:v>0</c:v>
                </c:pt>
                <c:pt idx="17">
                  <c:v>0.5</c:v>
                </c:pt>
                <c:pt idx="18">
                  <c:v>0.69047619047619069</c:v>
                </c:pt>
                <c:pt idx="19">
                  <c:v>0.18750000000000003</c:v>
                </c:pt>
                <c:pt idx="20">
                  <c:v>5.5555555555555546E-2</c:v>
                </c:pt>
                <c:pt idx="21">
                  <c:v>0.43103448275862072</c:v>
                </c:pt>
                <c:pt idx="22">
                  <c:v>0.55111111111111111</c:v>
                </c:pt>
                <c:pt idx="23">
                  <c:v>0.42857142857142855</c:v>
                </c:pt>
                <c:pt idx="24">
                  <c:v>0.5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'Diag 17-18'!$C$32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'Diag 17-18'!$A$33:$A$58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17-18'!$C$33:$C$58</c:f>
              <c:numCache>
                <c:formatCode>0.00%</c:formatCode>
                <c:ptCount val="26"/>
                <c:pt idx="0">
                  <c:v>0.33333333333333331</c:v>
                </c:pt>
                <c:pt idx="1">
                  <c:v>0.66666666666666663</c:v>
                </c:pt>
                <c:pt idx="2">
                  <c:v>0.25</c:v>
                </c:pt>
                <c:pt idx="3">
                  <c:v>0.75000000000000011</c:v>
                </c:pt>
                <c:pt idx="4">
                  <c:v>0</c:v>
                </c:pt>
                <c:pt idx="5">
                  <c:v>0.6428571428571429</c:v>
                </c:pt>
                <c:pt idx="6">
                  <c:v>0.4325259515570935</c:v>
                </c:pt>
                <c:pt idx="7">
                  <c:v>0.66666666666666663</c:v>
                </c:pt>
                <c:pt idx="8">
                  <c:v>0.77777777777777779</c:v>
                </c:pt>
                <c:pt idx="9">
                  <c:v>0.27272727272727276</c:v>
                </c:pt>
                <c:pt idx="10">
                  <c:v>0.81818181818181834</c:v>
                </c:pt>
                <c:pt idx="11">
                  <c:v>0.25</c:v>
                </c:pt>
                <c:pt idx="12">
                  <c:v>1</c:v>
                </c:pt>
                <c:pt idx="13">
                  <c:v>0.5</c:v>
                </c:pt>
                <c:pt idx="14">
                  <c:v>0.3636363636363637</c:v>
                </c:pt>
                <c:pt idx="15">
                  <c:v>0.75000000000000011</c:v>
                </c:pt>
                <c:pt idx="16">
                  <c:v>0</c:v>
                </c:pt>
                <c:pt idx="17">
                  <c:v>0</c:v>
                </c:pt>
                <c:pt idx="18">
                  <c:v>0.66666666666666663</c:v>
                </c:pt>
                <c:pt idx="19">
                  <c:v>0.22222222222222224</c:v>
                </c:pt>
                <c:pt idx="20">
                  <c:v>0</c:v>
                </c:pt>
                <c:pt idx="21">
                  <c:v>0.28571428571428581</c:v>
                </c:pt>
                <c:pt idx="22">
                  <c:v>1</c:v>
                </c:pt>
                <c:pt idx="23">
                  <c:v>0</c:v>
                </c:pt>
                <c:pt idx="24">
                  <c:v>0.35000000000000003</c:v>
                </c:pt>
                <c:pt idx="25">
                  <c:v>0</c:v>
                </c:pt>
              </c:numCache>
            </c:numRef>
          </c:val>
        </c:ser>
        <c:dLbls/>
        <c:gapWidth val="219"/>
        <c:overlap val="-27"/>
        <c:axId val="130452864"/>
        <c:axId val="143157120"/>
      </c:barChart>
      <c:lineChart>
        <c:grouping val="standard"/>
        <c:ser>
          <c:idx val="2"/>
          <c:order val="2"/>
          <c:tx>
            <c:strRef>
              <c:f>'Diag 17-18'!$D$32</c:f>
              <c:strCache>
                <c:ptCount val="1"/>
                <c:pt idx="0">
                  <c:v>Среднее за 2018 год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'Diag 17-18'!$A$33:$A$55</c:f>
              <c:strCache>
                <c:ptCount val="23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</c:strCache>
            </c:strRef>
          </c:cat>
          <c:val>
            <c:numRef>
              <c:f>'Diag 17-18'!$D$33:$D$58</c:f>
              <c:numCache>
                <c:formatCode>0%</c:formatCode>
                <c:ptCount val="26"/>
                <c:pt idx="0">
                  <c:v>0.38685684224769357</c:v>
                </c:pt>
                <c:pt idx="1">
                  <c:v>0.38685684224769357</c:v>
                </c:pt>
                <c:pt idx="2">
                  <c:v>0.38685684224769357</c:v>
                </c:pt>
                <c:pt idx="3">
                  <c:v>0.38685684224769357</c:v>
                </c:pt>
                <c:pt idx="4">
                  <c:v>0.38685684224769357</c:v>
                </c:pt>
                <c:pt idx="5">
                  <c:v>0.38685684224769357</c:v>
                </c:pt>
                <c:pt idx="6">
                  <c:v>0.38685684224769357</c:v>
                </c:pt>
                <c:pt idx="7">
                  <c:v>0.38685684224769357</c:v>
                </c:pt>
                <c:pt idx="8">
                  <c:v>0.38685684224769357</c:v>
                </c:pt>
                <c:pt idx="9">
                  <c:v>0.38685684224769357</c:v>
                </c:pt>
                <c:pt idx="10">
                  <c:v>0.38685684224769357</c:v>
                </c:pt>
                <c:pt idx="11">
                  <c:v>0.38685684224769357</c:v>
                </c:pt>
                <c:pt idx="12">
                  <c:v>0.38685684224769357</c:v>
                </c:pt>
                <c:pt idx="13">
                  <c:v>0.38685684224769357</c:v>
                </c:pt>
                <c:pt idx="14">
                  <c:v>0.38685684224769357</c:v>
                </c:pt>
                <c:pt idx="15">
                  <c:v>0.38685684224769357</c:v>
                </c:pt>
                <c:pt idx="16">
                  <c:v>0.38685684224769357</c:v>
                </c:pt>
                <c:pt idx="17">
                  <c:v>0.38685684224769357</c:v>
                </c:pt>
                <c:pt idx="18">
                  <c:v>0.38685684224769357</c:v>
                </c:pt>
                <c:pt idx="19">
                  <c:v>0.38685684224769357</c:v>
                </c:pt>
                <c:pt idx="20">
                  <c:v>0.38685684224769357</c:v>
                </c:pt>
                <c:pt idx="21">
                  <c:v>0.38685684224769357</c:v>
                </c:pt>
                <c:pt idx="22">
                  <c:v>0.38685684224769357</c:v>
                </c:pt>
                <c:pt idx="23">
                  <c:v>0.38685684224769357</c:v>
                </c:pt>
                <c:pt idx="24">
                  <c:v>0.38685684224769357</c:v>
                </c:pt>
                <c:pt idx="25">
                  <c:v>0.38685684224769357</c:v>
                </c:pt>
              </c:numCache>
            </c:numRef>
          </c:val>
        </c:ser>
        <c:ser>
          <c:idx val="3"/>
          <c:order val="3"/>
          <c:tx>
            <c:strRef>
              <c:f>'Diag 17-18'!$E$32</c:f>
              <c:strCache>
                <c:ptCount val="1"/>
                <c:pt idx="0">
                  <c:v>Среднее за 2019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'Diag 17-18'!$A$33:$A$55</c:f>
              <c:strCache>
                <c:ptCount val="23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</c:strCache>
            </c:strRef>
          </c:cat>
          <c:val>
            <c:numRef>
              <c:f>'Diag 17-18'!$E$33:$E$58</c:f>
              <c:numCache>
                <c:formatCode>0%</c:formatCode>
                <c:ptCount val="26"/>
                <c:pt idx="0">
                  <c:v>0.42303754492335799</c:v>
                </c:pt>
                <c:pt idx="1">
                  <c:v>0.42303754492335799</c:v>
                </c:pt>
                <c:pt idx="2">
                  <c:v>0.42303754492335799</c:v>
                </c:pt>
                <c:pt idx="3">
                  <c:v>0.42303754492335799</c:v>
                </c:pt>
                <c:pt idx="4">
                  <c:v>0.42303754492335799</c:v>
                </c:pt>
                <c:pt idx="5">
                  <c:v>0.42303754492335799</c:v>
                </c:pt>
                <c:pt idx="6">
                  <c:v>0.42303754492335799</c:v>
                </c:pt>
                <c:pt idx="7">
                  <c:v>0.42303754492335799</c:v>
                </c:pt>
                <c:pt idx="8">
                  <c:v>0.42303754492335799</c:v>
                </c:pt>
                <c:pt idx="9">
                  <c:v>0.42303754492335799</c:v>
                </c:pt>
                <c:pt idx="10">
                  <c:v>0.42303754492335799</c:v>
                </c:pt>
                <c:pt idx="11">
                  <c:v>0.42303754492335799</c:v>
                </c:pt>
                <c:pt idx="12">
                  <c:v>0.42303754492335799</c:v>
                </c:pt>
                <c:pt idx="13">
                  <c:v>0.42303754492335799</c:v>
                </c:pt>
                <c:pt idx="14">
                  <c:v>0.42303754492335799</c:v>
                </c:pt>
                <c:pt idx="15">
                  <c:v>0.42303754492335799</c:v>
                </c:pt>
                <c:pt idx="16">
                  <c:v>0.42303754492335799</c:v>
                </c:pt>
                <c:pt idx="17">
                  <c:v>0.42303754492335799</c:v>
                </c:pt>
                <c:pt idx="18">
                  <c:v>0.42303754492335799</c:v>
                </c:pt>
                <c:pt idx="19">
                  <c:v>0.42303754492335799</c:v>
                </c:pt>
                <c:pt idx="20">
                  <c:v>0.42303754492335799</c:v>
                </c:pt>
                <c:pt idx="21">
                  <c:v>0.42303754492335799</c:v>
                </c:pt>
                <c:pt idx="22">
                  <c:v>0.42303754492335799</c:v>
                </c:pt>
                <c:pt idx="23">
                  <c:v>0.42303754492335799</c:v>
                </c:pt>
                <c:pt idx="24">
                  <c:v>0.42303754492335799</c:v>
                </c:pt>
                <c:pt idx="25">
                  <c:v>0.42303754492335799</c:v>
                </c:pt>
              </c:numCache>
            </c:numRef>
          </c:val>
        </c:ser>
        <c:dLbls/>
        <c:marker val="1"/>
        <c:axId val="130452864"/>
        <c:axId val="143157120"/>
      </c:lineChart>
      <c:catAx>
        <c:axId val="130452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157120"/>
        <c:crosses val="autoZero"/>
        <c:auto val="1"/>
        <c:lblAlgn val="ctr"/>
        <c:lblOffset val="100"/>
      </c:catAx>
      <c:valAx>
        <c:axId val="143157120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452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'Diag 17-18'!$B$63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'Diag 17-18'!$A$64:$A$89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17-18'!$B$64:$B$89</c:f>
              <c:numCache>
                <c:formatCode>0.00%</c:formatCode>
                <c:ptCount val="26"/>
                <c:pt idx="0">
                  <c:v>0.1</c:v>
                </c:pt>
                <c:pt idx="1">
                  <c:v>0</c:v>
                </c:pt>
                <c:pt idx="2">
                  <c:v>0.3043478260869566</c:v>
                </c:pt>
                <c:pt idx="3">
                  <c:v>0</c:v>
                </c:pt>
                <c:pt idx="4">
                  <c:v>0</c:v>
                </c:pt>
                <c:pt idx="5">
                  <c:v>0.40909090909090917</c:v>
                </c:pt>
                <c:pt idx="6">
                  <c:v>0.24193548387096783</c:v>
                </c:pt>
                <c:pt idx="7">
                  <c:v>0.23305084745762714</c:v>
                </c:pt>
                <c:pt idx="8">
                  <c:v>1.6528925619834715E-2</c:v>
                </c:pt>
                <c:pt idx="9">
                  <c:v>0.3636363636363637</c:v>
                </c:pt>
                <c:pt idx="10">
                  <c:v>0.5</c:v>
                </c:pt>
                <c:pt idx="11">
                  <c:v>0.18181818181818188</c:v>
                </c:pt>
                <c:pt idx="12">
                  <c:v>0</c:v>
                </c:pt>
                <c:pt idx="13">
                  <c:v>0.44444444444444442</c:v>
                </c:pt>
                <c:pt idx="14">
                  <c:v>0.27272727272727276</c:v>
                </c:pt>
                <c:pt idx="15">
                  <c:v>0.1</c:v>
                </c:pt>
                <c:pt idx="16">
                  <c:v>0</c:v>
                </c:pt>
                <c:pt idx="17">
                  <c:v>0.5</c:v>
                </c:pt>
                <c:pt idx="18">
                  <c:v>0.42857142857142855</c:v>
                </c:pt>
                <c:pt idx="19">
                  <c:v>0</c:v>
                </c:pt>
                <c:pt idx="20">
                  <c:v>5.5555555555555539E-2</c:v>
                </c:pt>
                <c:pt idx="21">
                  <c:v>6.8965517241379309E-2</c:v>
                </c:pt>
                <c:pt idx="22">
                  <c:v>0.24888888888888891</c:v>
                </c:pt>
                <c:pt idx="23">
                  <c:v>0.1428571428571429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'Diag 17-18'!$C$63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'Diag 17-18'!$A$64:$A$89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17-18'!$C$64:$C$89</c:f>
              <c:numCache>
                <c:formatCode>0.00%</c:formatCode>
                <c:ptCount val="26"/>
                <c:pt idx="0">
                  <c:v>4.7619047619047623E-2</c:v>
                </c:pt>
                <c:pt idx="1">
                  <c:v>0</c:v>
                </c:pt>
                <c:pt idx="2">
                  <c:v>0.75000000000000011</c:v>
                </c:pt>
                <c:pt idx="3">
                  <c:v>0.37500000000000006</c:v>
                </c:pt>
                <c:pt idx="4">
                  <c:v>0</c:v>
                </c:pt>
                <c:pt idx="5">
                  <c:v>0.35714285714285726</c:v>
                </c:pt>
                <c:pt idx="6">
                  <c:v>3.8062283737024222E-2</c:v>
                </c:pt>
                <c:pt idx="7">
                  <c:v>0.5</c:v>
                </c:pt>
                <c:pt idx="8">
                  <c:v>0.55555555555555569</c:v>
                </c:pt>
                <c:pt idx="9">
                  <c:v>0.3636363636363637</c:v>
                </c:pt>
                <c:pt idx="10">
                  <c:v>0.72727272727272729</c:v>
                </c:pt>
                <c:pt idx="11">
                  <c:v>0</c:v>
                </c:pt>
                <c:pt idx="12">
                  <c:v>0</c:v>
                </c:pt>
                <c:pt idx="13">
                  <c:v>0.33333333333333331</c:v>
                </c:pt>
                <c:pt idx="14">
                  <c:v>0.27272727272727276</c:v>
                </c:pt>
                <c:pt idx="15">
                  <c:v>0.125</c:v>
                </c:pt>
                <c:pt idx="16">
                  <c:v>1</c:v>
                </c:pt>
                <c:pt idx="17">
                  <c:v>0.5</c:v>
                </c:pt>
                <c:pt idx="18">
                  <c:v>0.1111111111111111</c:v>
                </c:pt>
                <c:pt idx="19">
                  <c:v>0.1111111111111111</c:v>
                </c:pt>
                <c:pt idx="20">
                  <c:v>0</c:v>
                </c:pt>
                <c:pt idx="21">
                  <c:v>0.1428571428571429</c:v>
                </c:pt>
                <c:pt idx="22">
                  <c:v>0</c:v>
                </c:pt>
                <c:pt idx="23">
                  <c:v>0</c:v>
                </c:pt>
                <c:pt idx="24">
                  <c:v>0.15000000000000002</c:v>
                </c:pt>
                <c:pt idx="25">
                  <c:v>0</c:v>
                </c:pt>
              </c:numCache>
            </c:numRef>
          </c:val>
        </c:ser>
        <c:dLbls/>
        <c:gapWidth val="219"/>
        <c:overlap val="-27"/>
        <c:axId val="145699200"/>
        <c:axId val="145700736"/>
      </c:barChart>
      <c:lineChart>
        <c:grouping val="standard"/>
        <c:ser>
          <c:idx val="2"/>
          <c:order val="2"/>
          <c:tx>
            <c:strRef>
              <c:f>'Diag 17-18'!$D$63</c:f>
              <c:strCache>
                <c:ptCount val="1"/>
                <c:pt idx="0">
                  <c:v>Среднее за 2018 год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'Diag 17-18'!$A$64:$A$89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17-18'!$D$64:$D$89</c:f>
              <c:numCache>
                <c:formatCode>0%</c:formatCode>
                <c:ptCount val="26"/>
                <c:pt idx="0">
                  <c:v>0.1774007226102674</c:v>
                </c:pt>
                <c:pt idx="1">
                  <c:v>0.1774007226102674</c:v>
                </c:pt>
                <c:pt idx="2">
                  <c:v>0.1774007226102674</c:v>
                </c:pt>
                <c:pt idx="3">
                  <c:v>0.1774007226102674</c:v>
                </c:pt>
                <c:pt idx="4">
                  <c:v>0.1774007226102674</c:v>
                </c:pt>
                <c:pt idx="5">
                  <c:v>0.1774007226102674</c:v>
                </c:pt>
                <c:pt idx="6">
                  <c:v>0.1774007226102674</c:v>
                </c:pt>
                <c:pt idx="7">
                  <c:v>0.1774007226102674</c:v>
                </c:pt>
                <c:pt idx="8">
                  <c:v>0.1774007226102674</c:v>
                </c:pt>
                <c:pt idx="9">
                  <c:v>0.1774007226102674</c:v>
                </c:pt>
                <c:pt idx="10">
                  <c:v>0.1774007226102674</c:v>
                </c:pt>
                <c:pt idx="11">
                  <c:v>0.1774007226102674</c:v>
                </c:pt>
                <c:pt idx="12">
                  <c:v>0.1774007226102674</c:v>
                </c:pt>
                <c:pt idx="13">
                  <c:v>0.1774007226102674</c:v>
                </c:pt>
                <c:pt idx="14">
                  <c:v>0.1774007226102674</c:v>
                </c:pt>
                <c:pt idx="15">
                  <c:v>0.1774007226102674</c:v>
                </c:pt>
                <c:pt idx="16">
                  <c:v>0.1774007226102674</c:v>
                </c:pt>
                <c:pt idx="17">
                  <c:v>0.1774007226102674</c:v>
                </c:pt>
                <c:pt idx="18">
                  <c:v>0.1774007226102674</c:v>
                </c:pt>
                <c:pt idx="19">
                  <c:v>0.1774007226102674</c:v>
                </c:pt>
                <c:pt idx="20">
                  <c:v>0.1774007226102674</c:v>
                </c:pt>
                <c:pt idx="21">
                  <c:v>0.1774007226102674</c:v>
                </c:pt>
                <c:pt idx="22">
                  <c:v>0.1774007226102674</c:v>
                </c:pt>
                <c:pt idx="23">
                  <c:v>0.1774007226102674</c:v>
                </c:pt>
                <c:pt idx="24">
                  <c:v>0.1774007226102674</c:v>
                </c:pt>
                <c:pt idx="25">
                  <c:v>0.1774007226102674</c:v>
                </c:pt>
              </c:numCache>
            </c:numRef>
          </c:val>
        </c:ser>
        <c:ser>
          <c:idx val="3"/>
          <c:order val="3"/>
          <c:tx>
            <c:strRef>
              <c:f>'Diag 17-18'!$E$63</c:f>
              <c:strCache>
                <c:ptCount val="1"/>
                <c:pt idx="0">
                  <c:v>Среднее за 2019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'Diag 17-18'!$A$64:$A$89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17-18'!$E$64:$E$89</c:f>
              <c:numCache>
                <c:formatCode>0%</c:formatCode>
                <c:ptCount val="26"/>
                <c:pt idx="0">
                  <c:v>0.24847803100398255</c:v>
                </c:pt>
                <c:pt idx="1">
                  <c:v>0.24847803100398255</c:v>
                </c:pt>
                <c:pt idx="2">
                  <c:v>0.24847803100398255</c:v>
                </c:pt>
                <c:pt idx="3">
                  <c:v>0.24847803100398255</c:v>
                </c:pt>
                <c:pt idx="4">
                  <c:v>0.24847803100398255</c:v>
                </c:pt>
                <c:pt idx="5">
                  <c:v>0.24847803100398255</c:v>
                </c:pt>
                <c:pt idx="6">
                  <c:v>0.24847803100398255</c:v>
                </c:pt>
                <c:pt idx="7">
                  <c:v>0.24847803100398255</c:v>
                </c:pt>
                <c:pt idx="8">
                  <c:v>0.24847803100398255</c:v>
                </c:pt>
                <c:pt idx="9">
                  <c:v>0.24847803100398255</c:v>
                </c:pt>
                <c:pt idx="10">
                  <c:v>0.24847803100398255</c:v>
                </c:pt>
                <c:pt idx="11">
                  <c:v>0.24847803100398255</c:v>
                </c:pt>
                <c:pt idx="12">
                  <c:v>0.24847803100398255</c:v>
                </c:pt>
                <c:pt idx="13">
                  <c:v>0.24847803100398255</c:v>
                </c:pt>
                <c:pt idx="14">
                  <c:v>0.24847803100398255</c:v>
                </c:pt>
                <c:pt idx="15">
                  <c:v>0.24847803100398255</c:v>
                </c:pt>
                <c:pt idx="16">
                  <c:v>0.24847803100398255</c:v>
                </c:pt>
                <c:pt idx="17">
                  <c:v>0.24847803100398255</c:v>
                </c:pt>
                <c:pt idx="18">
                  <c:v>0.24847803100398255</c:v>
                </c:pt>
                <c:pt idx="19">
                  <c:v>0.24847803100398255</c:v>
                </c:pt>
                <c:pt idx="20">
                  <c:v>0.24847803100398255</c:v>
                </c:pt>
                <c:pt idx="21">
                  <c:v>0.24847803100398255</c:v>
                </c:pt>
                <c:pt idx="22">
                  <c:v>0.24847803100398255</c:v>
                </c:pt>
                <c:pt idx="23">
                  <c:v>0.24847803100398255</c:v>
                </c:pt>
                <c:pt idx="24">
                  <c:v>0.24847803100398255</c:v>
                </c:pt>
                <c:pt idx="25">
                  <c:v>0.24847803100398255</c:v>
                </c:pt>
              </c:numCache>
            </c:numRef>
          </c:val>
        </c:ser>
        <c:dLbls/>
        <c:marker val="1"/>
        <c:axId val="145699200"/>
        <c:axId val="145700736"/>
      </c:lineChart>
      <c:catAx>
        <c:axId val="145699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700736"/>
        <c:crosses val="autoZero"/>
        <c:auto val="1"/>
        <c:lblAlgn val="ctr"/>
        <c:lblOffset val="100"/>
      </c:catAx>
      <c:valAx>
        <c:axId val="145700736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69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'Diag 17-18'!$B$93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'Diag 17-18'!$A$64:$A$89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17-18'!$B$94:$B$119</c:f>
              <c:numCache>
                <c:formatCode>0%</c:formatCode>
                <c:ptCount val="26"/>
                <c:pt idx="0">
                  <c:v>0.70769230769230773</c:v>
                </c:pt>
                <c:pt idx="1">
                  <c:v>1</c:v>
                </c:pt>
                <c:pt idx="2">
                  <c:v>0.69565217391304357</c:v>
                </c:pt>
                <c:pt idx="3">
                  <c:v>1</c:v>
                </c:pt>
                <c:pt idx="4">
                  <c:v>0.5</c:v>
                </c:pt>
                <c:pt idx="5">
                  <c:v>0.90909090909090906</c:v>
                </c:pt>
                <c:pt idx="6">
                  <c:v>0.75806451612903236</c:v>
                </c:pt>
                <c:pt idx="7">
                  <c:v>0.3898305084745764</c:v>
                </c:pt>
                <c:pt idx="8">
                  <c:v>0.3223140495867769</c:v>
                </c:pt>
                <c:pt idx="9">
                  <c:v>0.63636363636363646</c:v>
                </c:pt>
                <c:pt idx="10">
                  <c:v>0.87500000000000011</c:v>
                </c:pt>
                <c:pt idx="11">
                  <c:v>0.63636363636363646</c:v>
                </c:pt>
                <c:pt idx="12">
                  <c:v>0.5</c:v>
                </c:pt>
                <c:pt idx="13">
                  <c:v>0.7777777777777779</c:v>
                </c:pt>
                <c:pt idx="14">
                  <c:v>0.54545454545454541</c:v>
                </c:pt>
                <c:pt idx="15">
                  <c:v>0.60000000000000009</c:v>
                </c:pt>
                <c:pt idx="16">
                  <c:v>1</c:v>
                </c:pt>
                <c:pt idx="17">
                  <c:v>0.5</c:v>
                </c:pt>
                <c:pt idx="18">
                  <c:v>0.57142857142857162</c:v>
                </c:pt>
                <c:pt idx="19">
                  <c:v>0.58333333333333337</c:v>
                </c:pt>
                <c:pt idx="20">
                  <c:v>0.22222222222222221</c:v>
                </c:pt>
                <c:pt idx="21">
                  <c:v>0.34482758620689663</c:v>
                </c:pt>
                <c:pt idx="22">
                  <c:v>0.73333333333333339</c:v>
                </c:pt>
                <c:pt idx="23">
                  <c:v>0.28571428571428581</c:v>
                </c:pt>
                <c:pt idx="24">
                  <c:v>0.5</c:v>
                </c:pt>
                <c:pt idx="25">
                  <c:v>0.66666666666666663</c:v>
                </c:pt>
              </c:numCache>
            </c:numRef>
          </c:val>
        </c:ser>
        <c:ser>
          <c:idx val="1"/>
          <c:order val="1"/>
          <c:tx>
            <c:strRef>
              <c:f>'Diag 17-18'!$C$93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'Diag 17-18'!$A$64:$A$89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17-18'!$C$94:$C$119</c:f>
              <c:numCache>
                <c:formatCode>0%</c:formatCode>
                <c:ptCount val="26"/>
                <c:pt idx="0">
                  <c:v>0.71428571428571441</c:v>
                </c:pt>
                <c:pt idx="1">
                  <c:v>1</c:v>
                </c:pt>
                <c:pt idx="2">
                  <c:v>0.5</c:v>
                </c:pt>
                <c:pt idx="3">
                  <c:v>0.62500000000000011</c:v>
                </c:pt>
                <c:pt idx="4">
                  <c:v>0.5</c:v>
                </c:pt>
                <c:pt idx="5">
                  <c:v>0.78571428571428559</c:v>
                </c:pt>
                <c:pt idx="6">
                  <c:v>0.6505190311418686</c:v>
                </c:pt>
                <c:pt idx="7">
                  <c:v>0.66666666666666663</c:v>
                </c:pt>
                <c:pt idx="8">
                  <c:v>0.66666666666666663</c:v>
                </c:pt>
                <c:pt idx="9">
                  <c:v>0.63636363636363646</c:v>
                </c:pt>
                <c:pt idx="10">
                  <c:v>0.81818181818181834</c:v>
                </c:pt>
                <c:pt idx="11">
                  <c:v>0.75000000000000011</c:v>
                </c:pt>
                <c:pt idx="12">
                  <c:v>1</c:v>
                </c:pt>
                <c:pt idx="13">
                  <c:v>0.5</c:v>
                </c:pt>
                <c:pt idx="14">
                  <c:v>0.54545454545454541</c:v>
                </c:pt>
                <c:pt idx="15">
                  <c:v>0.75000000000000011</c:v>
                </c:pt>
                <c:pt idx="16">
                  <c:v>1</c:v>
                </c:pt>
                <c:pt idx="17">
                  <c:v>0.5</c:v>
                </c:pt>
                <c:pt idx="18">
                  <c:v>0.22222222222222221</c:v>
                </c:pt>
                <c:pt idx="19">
                  <c:v>0.33333333333333331</c:v>
                </c:pt>
                <c:pt idx="20">
                  <c:v>1</c:v>
                </c:pt>
                <c:pt idx="21">
                  <c:v>0.71428571428571441</c:v>
                </c:pt>
                <c:pt idx="22">
                  <c:v>0</c:v>
                </c:pt>
                <c:pt idx="23">
                  <c:v>1</c:v>
                </c:pt>
                <c:pt idx="24">
                  <c:v>0.60000000000000009</c:v>
                </c:pt>
                <c:pt idx="25">
                  <c:v>0.66666666666666663</c:v>
                </c:pt>
              </c:numCache>
            </c:numRef>
          </c:val>
        </c:ser>
        <c:dLbls/>
        <c:gapWidth val="219"/>
        <c:overlap val="-27"/>
        <c:axId val="145729408"/>
        <c:axId val="145730944"/>
      </c:barChart>
      <c:lineChart>
        <c:grouping val="standard"/>
        <c:ser>
          <c:idx val="2"/>
          <c:order val="2"/>
          <c:tx>
            <c:strRef>
              <c:f>'Diag 17-18'!$D$93</c:f>
              <c:strCache>
                <c:ptCount val="1"/>
                <c:pt idx="0">
                  <c:v>Среднее за 2018 год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'Diag 17-18'!$A$64:$A$89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17-18'!$D$94:$D$119</c:f>
              <c:numCache>
                <c:formatCode>0%</c:formatCode>
                <c:ptCount val="26"/>
                <c:pt idx="0">
                  <c:v>0.62542807922121357</c:v>
                </c:pt>
                <c:pt idx="1">
                  <c:v>0.62542807922121357</c:v>
                </c:pt>
                <c:pt idx="2">
                  <c:v>0.62542807922121357</c:v>
                </c:pt>
                <c:pt idx="3">
                  <c:v>0.62542807922121357</c:v>
                </c:pt>
                <c:pt idx="4">
                  <c:v>0.62542807922121357</c:v>
                </c:pt>
                <c:pt idx="5">
                  <c:v>0.62542807922121357</c:v>
                </c:pt>
                <c:pt idx="6">
                  <c:v>0.62542807922121357</c:v>
                </c:pt>
                <c:pt idx="7">
                  <c:v>0.62542807922121357</c:v>
                </c:pt>
                <c:pt idx="8">
                  <c:v>0.62542807922121357</c:v>
                </c:pt>
                <c:pt idx="9">
                  <c:v>0.62542807922121357</c:v>
                </c:pt>
                <c:pt idx="10">
                  <c:v>0.62542807922121357</c:v>
                </c:pt>
                <c:pt idx="11">
                  <c:v>0.62542807922121357</c:v>
                </c:pt>
                <c:pt idx="12">
                  <c:v>0.62542807922121357</c:v>
                </c:pt>
                <c:pt idx="13">
                  <c:v>0.62542807922121357</c:v>
                </c:pt>
                <c:pt idx="14">
                  <c:v>0.62542807922121357</c:v>
                </c:pt>
                <c:pt idx="15">
                  <c:v>0.62542807922121357</c:v>
                </c:pt>
                <c:pt idx="16">
                  <c:v>0.62542807922121357</c:v>
                </c:pt>
                <c:pt idx="17">
                  <c:v>0.62542807922121357</c:v>
                </c:pt>
                <c:pt idx="18">
                  <c:v>0.62542807922121357</c:v>
                </c:pt>
                <c:pt idx="19">
                  <c:v>0.62542807922121357</c:v>
                </c:pt>
                <c:pt idx="20">
                  <c:v>0.62542807922121357</c:v>
                </c:pt>
                <c:pt idx="21">
                  <c:v>0.62542807922121357</c:v>
                </c:pt>
                <c:pt idx="22">
                  <c:v>0.62542807922121357</c:v>
                </c:pt>
                <c:pt idx="23">
                  <c:v>0.62542807922121357</c:v>
                </c:pt>
                <c:pt idx="24">
                  <c:v>0.62542807922121357</c:v>
                </c:pt>
                <c:pt idx="25">
                  <c:v>0.62542807922121357</c:v>
                </c:pt>
              </c:numCache>
            </c:numRef>
          </c:val>
        </c:ser>
        <c:ser>
          <c:idx val="3"/>
          <c:order val="3"/>
          <c:tx>
            <c:strRef>
              <c:f>'Diag 17-18'!$E$93</c:f>
              <c:strCache>
                <c:ptCount val="1"/>
                <c:pt idx="0">
                  <c:v>Среднее за 2019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'Diag 17-18'!$A$64:$A$89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17-18'!$E$94:$E$119</c:f>
              <c:numCache>
                <c:formatCode>0%</c:formatCode>
                <c:ptCount val="26"/>
                <c:pt idx="0">
                  <c:v>0.65943693465319775</c:v>
                </c:pt>
                <c:pt idx="1">
                  <c:v>0.65943693465319775</c:v>
                </c:pt>
                <c:pt idx="2">
                  <c:v>0.65943693465319775</c:v>
                </c:pt>
                <c:pt idx="3">
                  <c:v>0.65943693465319775</c:v>
                </c:pt>
                <c:pt idx="4">
                  <c:v>0.65943693465319775</c:v>
                </c:pt>
                <c:pt idx="5">
                  <c:v>0.65943693465319775</c:v>
                </c:pt>
                <c:pt idx="6">
                  <c:v>0.65943693465319775</c:v>
                </c:pt>
                <c:pt idx="7">
                  <c:v>0.65943693465319775</c:v>
                </c:pt>
                <c:pt idx="8">
                  <c:v>0.65943693465319775</c:v>
                </c:pt>
                <c:pt idx="9">
                  <c:v>0.65943693465319775</c:v>
                </c:pt>
                <c:pt idx="10">
                  <c:v>0.65943693465319775</c:v>
                </c:pt>
                <c:pt idx="11">
                  <c:v>0.65943693465319775</c:v>
                </c:pt>
                <c:pt idx="12">
                  <c:v>0.65943693465319775</c:v>
                </c:pt>
                <c:pt idx="13">
                  <c:v>0.65943693465319775</c:v>
                </c:pt>
                <c:pt idx="14">
                  <c:v>0.65943693465319775</c:v>
                </c:pt>
                <c:pt idx="15">
                  <c:v>0.65943693465319775</c:v>
                </c:pt>
                <c:pt idx="16">
                  <c:v>0.65943693465319775</c:v>
                </c:pt>
                <c:pt idx="17">
                  <c:v>0.65943693465319775</c:v>
                </c:pt>
                <c:pt idx="18">
                  <c:v>0.65943693465319775</c:v>
                </c:pt>
                <c:pt idx="19">
                  <c:v>0.65943693465319775</c:v>
                </c:pt>
                <c:pt idx="20">
                  <c:v>0.65943693465319775</c:v>
                </c:pt>
                <c:pt idx="21">
                  <c:v>0.65943693465319775</c:v>
                </c:pt>
                <c:pt idx="22">
                  <c:v>0.65943693465319775</c:v>
                </c:pt>
                <c:pt idx="23">
                  <c:v>0.65943693465319775</c:v>
                </c:pt>
                <c:pt idx="24">
                  <c:v>0.65943693465319775</c:v>
                </c:pt>
                <c:pt idx="25">
                  <c:v>0.65943693465319775</c:v>
                </c:pt>
              </c:numCache>
            </c:numRef>
          </c:val>
        </c:ser>
        <c:dLbls/>
        <c:marker val="1"/>
        <c:axId val="145729408"/>
        <c:axId val="145730944"/>
      </c:lineChart>
      <c:catAx>
        <c:axId val="145729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730944"/>
        <c:crosses val="autoZero"/>
        <c:auto val="1"/>
        <c:lblAlgn val="ctr"/>
        <c:lblOffset val="100"/>
      </c:catAx>
      <c:valAx>
        <c:axId val="145730944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72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'Diag 17-18'!$B$124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'Diag 17-18'!$A$125:$A$150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17-18'!$B$125:$B$150</c:f>
              <c:numCache>
                <c:formatCode>0.00%</c:formatCode>
                <c:ptCount val="26"/>
                <c:pt idx="0">
                  <c:v>0.4384615384615384</c:v>
                </c:pt>
                <c:pt idx="1">
                  <c:v>1</c:v>
                </c:pt>
                <c:pt idx="2">
                  <c:v>0.56521739130434767</c:v>
                </c:pt>
                <c:pt idx="3">
                  <c:v>1</c:v>
                </c:pt>
                <c:pt idx="4">
                  <c:v>0.5</c:v>
                </c:pt>
                <c:pt idx="5">
                  <c:v>0.86363636363636354</c:v>
                </c:pt>
                <c:pt idx="6">
                  <c:v>0.74193548387096764</c:v>
                </c:pt>
                <c:pt idx="7">
                  <c:v>0.43220338983050854</c:v>
                </c:pt>
                <c:pt idx="8">
                  <c:v>0.38842975206611574</c:v>
                </c:pt>
                <c:pt idx="9">
                  <c:v>0.27272727272727276</c:v>
                </c:pt>
                <c:pt idx="10">
                  <c:v>0.62500000000000011</c:v>
                </c:pt>
                <c:pt idx="11">
                  <c:v>0.3636363636363637</c:v>
                </c:pt>
                <c:pt idx="12">
                  <c:v>0.75000000000000011</c:v>
                </c:pt>
                <c:pt idx="13">
                  <c:v>0.66666666666666663</c:v>
                </c:pt>
                <c:pt idx="14">
                  <c:v>0.18181818181818188</c:v>
                </c:pt>
                <c:pt idx="15">
                  <c:v>0.4</c:v>
                </c:pt>
                <c:pt idx="16">
                  <c:v>1</c:v>
                </c:pt>
                <c:pt idx="17">
                  <c:v>0.5</c:v>
                </c:pt>
                <c:pt idx="18">
                  <c:v>0.59523809523809523</c:v>
                </c:pt>
                <c:pt idx="19">
                  <c:v>0.79166666666666652</c:v>
                </c:pt>
                <c:pt idx="20">
                  <c:v>0.4166666666666668</c:v>
                </c:pt>
                <c:pt idx="21">
                  <c:v>0.43103448275862072</c:v>
                </c:pt>
                <c:pt idx="22">
                  <c:v>0.43555555555555558</c:v>
                </c:pt>
                <c:pt idx="23">
                  <c:v>0</c:v>
                </c:pt>
                <c:pt idx="24">
                  <c:v>0.16666666666666666</c:v>
                </c:pt>
                <c:pt idx="25">
                  <c:v>0.33333333333333331</c:v>
                </c:pt>
              </c:numCache>
            </c:numRef>
          </c:val>
        </c:ser>
        <c:ser>
          <c:idx val="1"/>
          <c:order val="1"/>
          <c:tx>
            <c:strRef>
              <c:f>'Diag 17-18'!$C$124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'Diag 17-18'!$A$125:$A$150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17-18'!$C$125:$C$150</c:f>
              <c:numCache>
                <c:formatCode>0%</c:formatCode>
                <c:ptCount val="26"/>
                <c:pt idx="0">
                  <c:v>0.66666666666666663</c:v>
                </c:pt>
                <c:pt idx="1">
                  <c:v>0.66666666666666663</c:v>
                </c:pt>
                <c:pt idx="2">
                  <c:v>1</c:v>
                </c:pt>
                <c:pt idx="3">
                  <c:v>0.62500000000000011</c:v>
                </c:pt>
                <c:pt idx="4">
                  <c:v>0.5</c:v>
                </c:pt>
                <c:pt idx="5">
                  <c:v>0.78571428571428559</c:v>
                </c:pt>
                <c:pt idx="6">
                  <c:v>0.65397923875432551</c:v>
                </c:pt>
                <c:pt idx="7">
                  <c:v>0.16666666666666666</c:v>
                </c:pt>
                <c:pt idx="8">
                  <c:v>1</c:v>
                </c:pt>
                <c:pt idx="9">
                  <c:v>0.27272727272727276</c:v>
                </c:pt>
                <c:pt idx="10">
                  <c:v>0.27272727272727276</c:v>
                </c:pt>
                <c:pt idx="11">
                  <c:v>0.25</c:v>
                </c:pt>
                <c:pt idx="12">
                  <c:v>0</c:v>
                </c:pt>
                <c:pt idx="13">
                  <c:v>0.5</c:v>
                </c:pt>
                <c:pt idx="14">
                  <c:v>0.18181818181818188</c:v>
                </c:pt>
                <c:pt idx="15">
                  <c:v>0.37500000000000006</c:v>
                </c:pt>
                <c:pt idx="16">
                  <c:v>1</c:v>
                </c:pt>
                <c:pt idx="17">
                  <c:v>0</c:v>
                </c:pt>
                <c:pt idx="18">
                  <c:v>0.1111111111111111</c:v>
                </c:pt>
                <c:pt idx="19">
                  <c:v>0.44444444444444442</c:v>
                </c:pt>
                <c:pt idx="20">
                  <c:v>1</c:v>
                </c:pt>
                <c:pt idx="21">
                  <c:v>0.28571428571428581</c:v>
                </c:pt>
                <c:pt idx="22">
                  <c:v>1</c:v>
                </c:pt>
                <c:pt idx="23">
                  <c:v>1</c:v>
                </c:pt>
                <c:pt idx="24">
                  <c:v>0.35000000000000003</c:v>
                </c:pt>
                <c:pt idx="25">
                  <c:v>0.33333333333333331</c:v>
                </c:pt>
              </c:numCache>
            </c:numRef>
          </c:val>
        </c:ser>
        <c:dLbls/>
        <c:gapWidth val="219"/>
        <c:overlap val="-27"/>
        <c:axId val="146365824"/>
        <c:axId val="146379904"/>
      </c:barChart>
      <c:lineChart>
        <c:grouping val="standard"/>
        <c:ser>
          <c:idx val="2"/>
          <c:order val="2"/>
          <c:tx>
            <c:strRef>
              <c:f>'Diag 17-18'!$D$124</c:f>
              <c:strCache>
                <c:ptCount val="1"/>
                <c:pt idx="0">
                  <c:v>Среднее за 2018 год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'Diag 17-18'!$A$125:$A$150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17-18'!$D$125:$D$150</c:f>
              <c:numCache>
                <c:formatCode>0%</c:formatCode>
                <c:ptCount val="26"/>
                <c:pt idx="0">
                  <c:v>0.53307284118861253</c:v>
                </c:pt>
                <c:pt idx="1">
                  <c:v>0.53307284118861253</c:v>
                </c:pt>
                <c:pt idx="2">
                  <c:v>0.53307284118861253</c:v>
                </c:pt>
                <c:pt idx="3">
                  <c:v>0.53307284118861253</c:v>
                </c:pt>
                <c:pt idx="4">
                  <c:v>0.53307284118861253</c:v>
                </c:pt>
                <c:pt idx="5">
                  <c:v>0.53307284118861253</c:v>
                </c:pt>
                <c:pt idx="6">
                  <c:v>0.53307284118861253</c:v>
                </c:pt>
                <c:pt idx="7">
                  <c:v>0.53307284118861253</c:v>
                </c:pt>
                <c:pt idx="8">
                  <c:v>0.53307284118861253</c:v>
                </c:pt>
                <c:pt idx="9">
                  <c:v>0.53307284118861253</c:v>
                </c:pt>
                <c:pt idx="10">
                  <c:v>0.53307284118861253</c:v>
                </c:pt>
                <c:pt idx="11">
                  <c:v>0.53307284118861253</c:v>
                </c:pt>
                <c:pt idx="12">
                  <c:v>0.53307284118861253</c:v>
                </c:pt>
                <c:pt idx="13">
                  <c:v>0.53307284118861253</c:v>
                </c:pt>
                <c:pt idx="14">
                  <c:v>0.53307284118861253</c:v>
                </c:pt>
                <c:pt idx="15">
                  <c:v>0.53307284118861253</c:v>
                </c:pt>
                <c:pt idx="16">
                  <c:v>0.53307284118861253</c:v>
                </c:pt>
                <c:pt idx="17">
                  <c:v>0.53307284118861253</c:v>
                </c:pt>
                <c:pt idx="18">
                  <c:v>0.53307284118861253</c:v>
                </c:pt>
                <c:pt idx="19">
                  <c:v>0.53307284118861253</c:v>
                </c:pt>
                <c:pt idx="20">
                  <c:v>0.53307284118861253</c:v>
                </c:pt>
                <c:pt idx="21">
                  <c:v>0.53307284118861253</c:v>
                </c:pt>
                <c:pt idx="22">
                  <c:v>0.53307284118861253</c:v>
                </c:pt>
                <c:pt idx="23">
                  <c:v>0.53307284118861253</c:v>
                </c:pt>
                <c:pt idx="24">
                  <c:v>0.53307284118861253</c:v>
                </c:pt>
                <c:pt idx="25">
                  <c:v>0.53307284118861253</c:v>
                </c:pt>
              </c:numCache>
            </c:numRef>
          </c:val>
        </c:ser>
        <c:ser>
          <c:idx val="3"/>
          <c:order val="3"/>
          <c:tx>
            <c:strRef>
              <c:f>'Diag 17-18'!$E$124</c:f>
              <c:strCache>
                <c:ptCount val="1"/>
                <c:pt idx="0">
                  <c:v>Среднее за 2019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'Diag 17-18'!$A$125:$A$150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17-18'!$E$125:$E$150</c:f>
              <c:numCache>
                <c:formatCode>0%</c:formatCode>
                <c:ptCount val="26"/>
                <c:pt idx="0">
                  <c:v>0.51698343947478909</c:v>
                </c:pt>
                <c:pt idx="1">
                  <c:v>0.51698343947478909</c:v>
                </c:pt>
                <c:pt idx="2">
                  <c:v>0.51698343947478909</c:v>
                </c:pt>
                <c:pt idx="3">
                  <c:v>0.51698343947478909</c:v>
                </c:pt>
                <c:pt idx="4">
                  <c:v>0.51698343947478909</c:v>
                </c:pt>
                <c:pt idx="5">
                  <c:v>0.51698343947478909</c:v>
                </c:pt>
                <c:pt idx="6">
                  <c:v>0.51698343947478909</c:v>
                </c:pt>
                <c:pt idx="7">
                  <c:v>0.51698343947478909</c:v>
                </c:pt>
                <c:pt idx="8">
                  <c:v>0.51698343947478909</c:v>
                </c:pt>
                <c:pt idx="9">
                  <c:v>0.51698343947478909</c:v>
                </c:pt>
                <c:pt idx="10">
                  <c:v>0.51698343947478909</c:v>
                </c:pt>
                <c:pt idx="11">
                  <c:v>0.51698343947478909</c:v>
                </c:pt>
                <c:pt idx="12">
                  <c:v>0.51698343947478909</c:v>
                </c:pt>
                <c:pt idx="13">
                  <c:v>0.51698343947478909</c:v>
                </c:pt>
                <c:pt idx="14">
                  <c:v>0.51698343947478909</c:v>
                </c:pt>
                <c:pt idx="15">
                  <c:v>0.51698343947478909</c:v>
                </c:pt>
                <c:pt idx="16">
                  <c:v>0.51698343947478909</c:v>
                </c:pt>
                <c:pt idx="17">
                  <c:v>0.51698343947478909</c:v>
                </c:pt>
                <c:pt idx="18">
                  <c:v>0.51698343947478909</c:v>
                </c:pt>
                <c:pt idx="19">
                  <c:v>0.51698343947478909</c:v>
                </c:pt>
                <c:pt idx="20">
                  <c:v>0.51698343947478909</c:v>
                </c:pt>
                <c:pt idx="21">
                  <c:v>0.51698343947478909</c:v>
                </c:pt>
                <c:pt idx="22">
                  <c:v>0.51698343947478909</c:v>
                </c:pt>
                <c:pt idx="23">
                  <c:v>0.51698343947478909</c:v>
                </c:pt>
                <c:pt idx="24">
                  <c:v>0.51698343947478909</c:v>
                </c:pt>
                <c:pt idx="25">
                  <c:v>0.51698343947478909</c:v>
                </c:pt>
              </c:numCache>
            </c:numRef>
          </c:val>
        </c:ser>
        <c:dLbls/>
        <c:marker val="1"/>
        <c:axId val="146365824"/>
        <c:axId val="146379904"/>
      </c:lineChart>
      <c:catAx>
        <c:axId val="146365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379904"/>
        <c:crosses val="autoZero"/>
        <c:auto val="1"/>
        <c:lblAlgn val="ctr"/>
        <c:lblOffset val="100"/>
      </c:catAx>
      <c:valAx>
        <c:axId val="146379904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36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ru-RU"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'Diag 17-18'!$B$154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'Diag 17-18'!$A$155:$A$180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17-18'!$B$155:$B$180</c:f>
              <c:numCache>
                <c:formatCode>0.00%</c:formatCode>
                <c:ptCount val="26"/>
                <c:pt idx="0">
                  <c:v>0.75384615384615383</c:v>
                </c:pt>
                <c:pt idx="1">
                  <c:v>1</c:v>
                </c:pt>
                <c:pt idx="2">
                  <c:v>0.78260869565217406</c:v>
                </c:pt>
                <c:pt idx="3">
                  <c:v>1</c:v>
                </c:pt>
                <c:pt idx="4">
                  <c:v>0.5</c:v>
                </c:pt>
                <c:pt idx="5">
                  <c:v>0.86363636363636354</c:v>
                </c:pt>
                <c:pt idx="6">
                  <c:v>0.79032258064516114</c:v>
                </c:pt>
                <c:pt idx="7">
                  <c:v>0.57203389830508489</c:v>
                </c:pt>
                <c:pt idx="8">
                  <c:v>0.48760330578512395</c:v>
                </c:pt>
                <c:pt idx="9">
                  <c:v>0.54545454545454541</c:v>
                </c:pt>
                <c:pt idx="10">
                  <c:v>0.87500000000000011</c:v>
                </c:pt>
                <c:pt idx="11">
                  <c:v>0.63636363636363646</c:v>
                </c:pt>
                <c:pt idx="12">
                  <c:v>0</c:v>
                </c:pt>
                <c:pt idx="13">
                  <c:v>1</c:v>
                </c:pt>
                <c:pt idx="14">
                  <c:v>0.45454545454545453</c:v>
                </c:pt>
                <c:pt idx="15">
                  <c:v>0.60000000000000009</c:v>
                </c:pt>
                <c:pt idx="16">
                  <c:v>1</c:v>
                </c:pt>
                <c:pt idx="17">
                  <c:v>0.5</c:v>
                </c:pt>
                <c:pt idx="18">
                  <c:v>0.83333333333333348</c:v>
                </c:pt>
                <c:pt idx="19">
                  <c:v>0.39583333333333331</c:v>
                </c:pt>
                <c:pt idx="20">
                  <c:v>0.63888888888888895</c:v>
                </c:pt>
                <c:pt idx="21">
                  <c:v>0.51724137931034486</c:v>
                </c:pt>
                <c:pt idx="22">
                  <c:v>0.78666666666666651</c:v>
                </c:pt>
                <c:pt idx="23">
                  <c:v>0.42857142857142855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</c:ser>
        <c:ser>
          <c:idx val="1"/>
          <c:order val="1"/>
          <c:tx>
            <c:strRef>
              <c:f>'Diag 17-18'!$C$154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'Diag 17-18'!$A$155:$A$180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17-18'!$C$155:$C$180</c:f>
              <c:numCache>
                <c:formatCode>0%</c:formatCode>
                <c:ptCount val="26"/>
                <c:pt idx="0">
                  <c:v>0.76190476190476186</c:v>
                </c:pt>
                <c:pt idx="1">
                  <c:v>1</c:v>
                </c:pt>
                <c:pt idx="2">
                  <c:v>1</c:v>
                </c:pt>
                <c:pt idx="3">
                  <c:v>0.87500000000000011</c:v>
                </c:pt>
                <c:pt idx="4">
                  <c:v>0.5</c:v>
                </c:pt>
                <c:pt idx="5">
                  <c:v>0.9285714285714286</c:v>
                </c:pt>
                <c:pt idx="6">
                  <c:v>0.77508650519031141</c:v>
                </c:pt>
                <c:pt idx="7">
                  <c:v>0.83333333333333348</c:v>
                </c:pt>
                <c:pt idx="8">
                  <c:v>0.7777777777777779</c:v>
                </c:pt>
                <c:pt idx="9">
                  <c:v>0.54545454545454541</c:v>
                </c:pt>
                <c:pt idx="10">
                  <c:v>1</c:v>
                </c:pt>
                <c:pt idx="11">
                  <c:v>0.5</c:v>
                </c:pt>
                <c:pt idx="12">
                  <c:v>1</c:v>
                </c:pt>
                <c:pt idx="13">
                  <c:v>0.83333333333333348</c:v>
                </c:pt>
                <c:pt idx="14">
                  <c:v>0.45454545454545453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0.88888888888888884</c:v>
                </c:pt>
                <c:pt idx="19">
                  <c:v>0.44444444444444442</c:v>
                </c:pt>
                <c:pt idx="20">
                  <c:v>1</c:v>
                </c:pt>
                <c:pt idx="21">
                  <c:v>0.57142857142857162</c:v>
                </c:pt>
                <c:pt idx="22">
                  <c:v>1</c:v>
                </c:pt>
                <c:pt idx="23">
                  <c:v>1</c:v>
                </c:pt>
                <c:pt idx="24">
                  <c:v>0.9</c:v>
                </c:pt>
                <c:pt idx="25">
                  <c:v>1</c:v>
                </c:pt>
              </c:numCache>
            </c:numRef>
          </c:val>
        </c:ser>
        <c:dLbls/>
        <c:gapWidth val="219"/>
        <c:overlap val="-27"/>
        <c:axId val="146478208"/>
        <c:axId val="146479744"/>
      </c:barChart>
      <c:lineChart>
        <c:grouping val="standard"/>
        <c:ser>
          <c:idx val="2"/>
          <c:order val="2"/>
          <c:tx>
            <c:strRef>
              <c:f>'Diag 17-18'!$D$154</c:f>
              <c:strCache>
                <c:ptCount val="1"/>
                <c:pt idx="0">
                  <c:v>Среднее за 2018 год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'Diag 17-18'!$A$155:$A$180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17-18'!$D$155:$D$180</c:f>
              <c:numCache>
                <c:formatCode>0%</c:formatCode>
                <c:ptCount val="26"/>
                <c:pt idx="0">
                  <c:v>0.6908442178591423</c:v>
                </c:pt>
                <c:pt idx="1">
                  <c:v>0.6908442178591423</c:v>
                </c:pt>
                <c:pt idx="2">
                  <c:v>0.6908442178591423</c:v>
                </c:pt>
                <c:pt idx="3">
                  <c:v>0.6908442178591423</c:v>
                </c:pt>
                <c:pt idx="4">
                  <c:v>0.6908442178591423</c:v>
                </c:pt>
                <c:pt idx="5">
                  <c:v>0.6908442178591423</c:v>
                </c:pt>
                <c:pt idx="6">
                  <c:v>0.6908442178591423</c:v>
                </c:pt>
                <c:pt idx="7">
                  <c:v>0.6908442178591423</c:v>
                </c:pt>
                <c:pt idx="8">
                  <c:v>0.6908442178591423</c:v>
                </c:pt>
                <c:pt idx="9">
                  <c:v>0.6908442178591423</c:v>
                </c:pt>
                <c:pt idx="10">
                  <c:v>0.6908442178591423</c:v>
                </c:pt>
                <c:pt idx="11">
                  <c:v>0.6908442178591423</c:v>
                </c:pt>
                <c:pt idx="12">
                  <c:v>0.6908442178591423</c:v>
                </c:pt>
                <c:pt idx="13">
                  <c:v>0.6908442178591423</c:v>
                </c:pt>
                <c:pt idx="14">
                  <c:v>0.6908442178591423</c:v>
                </c:pt>
                <c:pt idx="15">
                  <c:v>0.6908442178591423</c:v>
                </c:pt>
                <c:pt idx="16">
                  <c:v>0.6908442178591423</c:v>
                </c:pt>
                <c:pt idx="17">
                  <c:v>0.6908442178591423</c:v>
                </c:pt>
                <c:pt idx="18">
                  <c:v>0.6908442178591423</c:v>
                </c:pt>
                <c:pt idx="19">
                  <c:v>0.6908442178591423</c:v>
                </c:pt>
                <c:pt idx="20">
                  <c:v>0.6908442178591423</c:v>
                </c:pt>
                <c:pt idx="21">
                  <c:v>0.6908442178591423</c:v>
                </c:pt>
                <c:pt idx="22">
                  <c:v>0.6908442178591423</c:v>
                </c:pt>
                <c:pt idx="23">
                  <c:v>0.6908442178591423</c:v>
                </c:pt>
                <c:pt idx="24">
                  <c:v>0.6908442178591423</c:v>
                </c:pt>
                <c:pt idx="25">
                  <c:v>0.6908442178591423</c:v>
                </c:pt>
              </c:numCache>
            </c:numRef>
          </c:val>
        </c:ser>
        <c:ser>
          <c:idx val="3"/>
          <c:order val="3"/>
          <c:tx>
            <c:strRef>
              <c:f>'Diag 17-18'!$E$154</c:f>
              <c:strCache>
                <c:ptCount val="1"/>
                <c:pt idx="0">
                  <c:v>Среднее за 2019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'Diag 17-18'!$A$155:$A$180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17-18'!$E$155:$E$180</c:f>
              <c:numCache>
                <c:formatCode>0%</c:formatCode>
                <c:ptCount val="26"/>
                <c:pt idx="0">
                  <c:v>0.83037573249510999</c:v>
                </c:pt>
                <c:pt idx="1">
                  <c:v>0.83037573249510999</c:v>
                </c:pt>
                <c:pt idx="2">
                  <c:v>0.83037573249510999</c:v>
                </c:pt>
                <c:pt idx="3">
                  <c:v>0.83037573249510999</c:v>
                </c:pt>
                <c:pt idx="4">
                  <c:v>0.83037573249510999</c:v>
                </c:pt>
                <c:pt idx="5">
                  <c:v>0.83037573249510999</c:v>
                </c:pt>
                <c:pt idx="6">
                  <c:v>0.83037573249510999</c:v>
                </c:pt>
                <c:pt idx="7">
                  <c:v>0.83037573249510999</c:v>
                </c:pt>
                <c:pt idx="8">
                  <c:v>0.83037573249510999</c:v>
                </c:pt>
                <c:pt idx="9">
                  <c:v>0.83037573249510999</c:v>
                </c:pt>
                <c:pt idx="10">
                  <c:v>0.83037573249510999</c:v>
                </c:pt>
                <c:pt idx="11">
                  <c:v>0.83037573249510999</c:v>
                </c:pt>
                <c:pt idx="12">
                  <c:v>0.83037573249510999</c:v>
                </c:pt>
                <c:pt idx="13">
                  <c:v>0.83037573249510999</c:v>
                </c:pt>
                <c:pt idx="14">
                  <c:v>0.83037573249510999</c:v>
                </c:pt>
                <c:pt idx="15">
                  <c:v>0.83037573249510999</c:v>
                </c:pt>
                <c:pt idx="16">
                  <c:v>0.83037573249510999</c:v>
                </c:pt>
                <c:pt idx="17">
                  <c:v>0.83037573249510999</c:v>
                </c:pt>
                <c:pt idx="18">
                  <c:v>0.83037573249510999</c:v>
                </c:pt>
                <c:pt idx="19">
                  <c:v>0.83037573249510999</c:v>
                </c:pt>
                <c:pt idx="20">
                  <c:v>0.83037573249510999</c:v>
                </c:pt>
                <c:pt idx="21">
                  <c:v>0.83037573249510999</c:v>
                </c:pt>
                <c:pt idx="22">
                  <c:v>0.83037573249510999</c:v>
                </c:pt>
                <c:pt idx="23">
                  <c:v>0.83037573249510999</c:v>
                </c:pt>
                <c:pt idx="24">
                  <c:v>0.83037573249510999</c:v>
                </c:pt>
                <c:pt idx="25">
                  <c:v>0.83037573249510999</c:v>
                </c:pt>
              </c:numCache>
            </c:numRef>
          </c:val>
        </c:ser>
        <c:dLbls/>
        <c:marker val="1"/>
        <c:axId val="146478208"/>
        <c:axId val="146479744"/>
      </c:lineChart>
      <c:catAx>
        <c:axId val="1464782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479744"/>
        <c:crosses val="autoZero"/>
        <c:auto val="1"/>
        <c:lblAlgn val="ctr"/>
        <c:lblOffset val="100"/>
      </c:catAx>
      <c:valAx>
        <c:axId val="146479744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47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ru-RU"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 lang="ru-RU" sz="1050" b="0" i="0" u="none" strike="noStrike" kern="1200" baseline="0">
          <a:solidFill>
            <a:schemeClr val="tx1">
              <a:lumMod val="65000"/>
              <a:lumOff val="35000"/>
            </a:schemeClr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'Diag 17-18'!$B$188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'Diag 17-18'!$A$189:$A$214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17-18'!$B$189:$B$214</c:f>
              <c:numCache>
                <c:formatCode>0.00%</c:formatCode>
                <c:ptCount val="26"/>
                <c:pt idx="0">
                  <c:v>0.51538461538461533</c:v>
                </c:pt>
                <c:pt idx="1">
                  <c:v>0</c:v>
                </c:pt>
                <c:pt idx="2">
                  <c:v>0.78260869565217406</c:v>
                </c:pt>
                <c:pt idx="3">
                  <c:v>1</c:v>
                </c:pt>
                <c:pt idx="4">
                  <c:v>0.5</c:v>
                </c:pt>
                <c:pt idx="5">
                  <c:v>0.86363636363636354</c:v>
                </c:pt>
                <c:pt idx="6">
                  <c:v>0.74193548387096764</c:v>
                </c:pt>
                <c:pt idx="7">
                  <c:v>0.4152542372881356</c:v>
                </c:pt>
                <c:pt idx="8">
                  <c:v>3.3057851239669422E-2</c:v>
                </c:pt>
                <c:pt idx="9">
                  <c:v>0</c:v>
                </c:pt>
                <c:pt idx="10">
                  <c:v>0.37500000000000006</c:v>
                </c:pt>
                <c:pt idx="11">
                  <c:v>0.18181818181818188</c:v>
                </c:pt>
                <c:pt idx="12">
                  <c:v>0.25</c:v>
                </c:pt>
                <c:pt idx="13">
                  <c:v>0.33333333333333331</c:v>
                </c:pt>
                <c:pt idx="14">
                  <c:v>9.0909090909090939E-2</c:v>
                </c:pt>
                <c:pt idx="15">
                  <c:v>0.5</c:v>
                </c:pt>
                <c:pt idx="16">
                  <c:v>0</c:v>
                </c:pt>
                <c:pt idx="17">
                  <c:v>0.5</c:v>
                </c:pt>
                <c:pt idx="18">
                  <c:v>0.71428571428571441</c:v>
                </c:pt>
                <c:pt idx="19">
                  <c:v>0.5</c:v>
                </c:pt>
                <c:pt idx="20">
                  <c:v>5.5555555555555539E-2</c:v>
                </c:pt>
                <c:pt idx="21">
                  <c:v>0.44827586206896552</c:v>
                </c:pt>
                <c:pt idx="22">
                  <c:v>0.6133333333333334</c:v>
                </c:pt>
                <c:pt idx="23">
                  <c:v>0</c:v>
                </c:pt>
                <c:pt idx="24">
                  <c:v>0.66666666666666663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'Diag 17-18'!$C$188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'Diag 17-18'!$A$189:$A$214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17-18'!$C$189:$C$214</c:f>
              <c:numCache>
                <c:formatCode>0%</c:formatCode>
                <c:ptCount val="26"/>
                <c:pt idx="0">
                  <c:v>0.57142857142857162</c:v>
                </c:pt>
                <c:pt idx="1">
                  <c:v>1</c:v>
                </c:pt>
                <c:pt idx="2">
                  <c:v>0.75000000000000011</c:v>
                </c:pt>
                <c:pt idx="3">
                  <c:v>1</c:v>
                </c:pt>
                <c:pt idx="4">
                  <c:v>0.5</c:v>
                </c:pt>
                <c:pt idx="5">
                  <c:v>0.78571428571428559</c:v>
                </c:pt>
                <c:pt idx="6">
                  <c:v>0.70934256055363321</c:v>
                </c:pt>
                <c:pt idx="7">
                  <c:v>0.33333333333333331</c:v>
                </c:pt>
                <c:pt idx="8">
                  <c:v>0.1111111111111111</c:v>
                </c:pt>
                <c:pt idx="9">
                  <c:v>0</c:v>
                </c:pt>
                <c:pt idx="10">
                  <c:v>0.45454545454545453</c:v>
                </c:pt>
                <c:pt idx="11">
                  <c:v>0.25</c:v>
                </c:pt>
                <c:pt idx="12">
                  <c:v>0</c:v>
                </c:pt>
                <c:pt idx="13">
                  <c:v>1</c:v>
                </c:pt>
                <c:pt idx="14">
                  <c:v>9.0909090909090939E-2</c:v>
                </c:pt>
                <c:pt idx="15">
                  <c:v>0.87500000000000011</c:v>
                </c:pt>
                <c:pt idx="16">
                  <c:v>0</c:v>
                </c:pt>
                <c:pt idx="17">
                  <c:v>0</c:v>
                </c:pt>
                <c:pt idx="18">
                  <c:v>0.66666666666666663</c:v>
                </c:pt>
                <c:pt idx="19">
                  <c:v>0</c:v>
                </c:pt>
                <c:pt idx="20">
                  <c:v>0</c:v>
                </c:pt>
                <c:pt idx="21">
                  <c:v>0.28571428571428581</c:v>
                </c:pt>
                <c:pt idx="22">
                  <c:v>0</c:v>
                </c:pt>
                <c:pt idx="23">
                  <c:v>0</c:v>
                </c:pt>
                <c:pt idx="24">
                  <c:v>0.35000000000000003</c:v>
                </c:pt>
                <c:pt idx="25">
                  <c:v>0</c:v>
                </c:pt>
              </c:numCache>
            </c:numRef>
          </c:val>
        </c:ser>
        <c:dLbls/>
        <c:gapWidth val="219"/>
        <c:overlap val="-27"/>
        <c:axId val="146520704"/>
        <c:axId val="146542976"/>
      </c:barChart>
      <c:lineChart>
        <c:grouping val="standard"/>
        <c:ser>
          <c:idx val="2"/>
          <c:order val="2"/>
          <c:tx>
            <c:strRef>
              <c:f>'Diag 17-18'!$D$188</c:f>
              <c:strCache>
                <c:ptCount val="1"/>
                <c:pt idx="0">
                  <c:v>Среднее за 2018 год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'Diag 17-18'!$A$189:$A$211</c:f>
              <c:strCache>
                <c:ptCount val="23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</c:strCache>
            </c:strRef>
          </c:cat>
          <c:val>
            <c:numRef>
              <c:f>'Diag 17-18'!$D$189:$D$214</c:f>
              <c:numCache>
                <c:formatCode>0%</c:formatCode>
                <c:ptCount val="26"/>
                <c:pt idx="0">
                  <c:v>0.38773288404010642</c:v>
                </c:pt>
                <c:pt idx="1">
                  <c:v>0.38773288404010642</c:v>
                </c:pt>
                <c:pt idx="2">
                  <c:v>0.38773288404010642</c:v>
                </c:pt>
                <c:pt idx="3">
                  <c:v>0.38773288404010642</c:v>
                </c:pt>
                <c:pt idx="4">
                  <c:v>0.38773288404010642</c:v>
                </c:pt>
                <c:pt idx="5">
                  <c:v>0.38773288404010642</c:v>
                </c:pt>
                <c:pt idx="6">
                  <c:v>0.38773288404010642</c:v>
                </c:pt>
                <c:pt idx="7">
                  <c:v>0.38773288404010642</c:v>
                </c:pt>
                <c:pt idx="8">
                  <c:v>0.38773288404010642</c:v>
                </c:pt>
                <c:pt idx="9">
                  <c:v>0.38773288404010642</c:v>
                </c:pt>
                <c:pt idx="10">
                  <c:v>0.38773288404010642</c:v>
                </c:pt>
                <c:pt idx="11">
                  <c:v>0.38773288404010642</c:v>
                </c:pt>
                <c:pt idx="12">
                  <c:v>0.38773288404010642</c:v>
                </c:pt>
                <c:pt idx="13">
                  <c:v>0.38773288404010642</c:v>
                </c:pt>
                <c:pt idx="14">
                  <c:v>0.38773288404010642</c:v>
                </c:pt>
                <c:pt idx="15">
                  <c:v>0.38773288404010642</c:v>
                </c:pt>
                <c:pt idx="16">
                  <c:v>0.38773288404010642</c:v>
                </c:pt>
                <c:pt idx="17">
                  <c:v>0.38773288404010642</c:v>
                </c:pt>
                <c:pt idx="18">
                  <c:v>0.38773288404010642</c:v>
                </c:pt>
                <c:pt idx="19">
                  <c:v>0.38773288404010642</c:v>
                </c:pt>
                <c:pt idx="20">
                  <c:v>0.38773288404010642</c:v>
                </c:pt>
                <c:pt idx="21">
                  <c:v>0.38773288404010642</c:v>
                </c:pt>
                <c:pt idx="22">
                  <c:v>0.38773288404010642</c:v>
                </c:pt>
                <c:pt idx="23">
                  <c:v>0.38773288404010642</c:v>
                </c:pt>
                <c:pt idx="24">
                  <c:v>0.38773288404010642</c:v>
                </c:pt>
                <c:pt idx="25">
                  <c:v>0.38773288404010642</c:v>
                </c:pt>
              </c:numCache>
            </c:numRef>
          </c:val>
        </c:ser>
        <c:ser>
          <c:idx val="3"/>
          <c:order val="3"/>
          <c:tx>
            <c:strRef>
              <c:f>'Diag 17-18'!$E$188</c:f>
              <c:strCache>
                <c:ptCount val="1"/>
                <c:pt idx="0">
                  <c:v>Среднее за 2019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'Diag 17-18'!$E$189:$E$214</c:f>
              <c:numCache>
                <c:formatCode>0%</c:formatCode>
                <c:ptCount val="26"/>
                <c:pt idx="0">
                  <c:v>0.37437559076832433</c:v>
                </c:pt>
                <c:pt idx="1">
                  <c:v>0.37437559076832433</c:v>
                </c:pt>
                <c:pt idx="2">
                  <c:v>0.37437559076832433</c:v>
                </c:pt>
                <c:pt idx="3">
                  <c:v>0.37437559076832433</c:v>
                </c:pt>
                <c:pt idx="4">
                  <c:v>0.37437559076832433</c:v>
                </c:pt>
                <c:pt idx="5">
                  <c:v>0.37437559076832433</c:v>
                </c:pt>
                <c:pt idx="6">
                  <c:v>0.37437559076832433</c:v>
                </c:pt>
                <c:pt idx="7">
                  <c:v>0.37437559076832433</c:v>
                </c:pt>
                <c:pt idx="8">
                  <c:v>0.37437559076832433</c:v>
                </c:pt>
                <c:pt idx="9">
                  <c:v>0.37437559076832433</c:v>
                </c:pt>
                <c:pt idx="10">
                  <c:v>0.37437559076832433</c:v>
                </c:pt>
                <c:pt idx="11">
                  <c:v>0.37437559076832433</c:v>
                </c:pt>
                <c:pt idx="12">
                  <c:v>0.37437559076832433</c:v>
                </c:pt>
                <c:pt idx="13">
                  <c:v>0.37437559076832433</c:v>
                </c:pt>
                <c:pt idx="14">
                  <c:v>0.37437559076832433</c:v>
                </c:pt>
                <c:pt idx="15">
                  <c:v>0.37437559076832433</c:v>
                </c:pt>
                <c:pt idx="16">
                  <c:v>0.37437559076832433</c:v>
                </c:pt>
                <c:pt idx="17">
                  <c:v>0.37437559076832433</c:v>
                </c:pt>
                <c:pt idx="18">
                  <c:v>0.37437559076832433</c:v>
                </c:pt>
                <c:pt idx="19">
                  <c:v>0.37437559076832433</c:v>
                </c:pt>
                <c:pt idx="20">
                  <c:v>0.37437559076832433</c:v>
                </c:pt>
                <c:pt idx="21">
                  <c:v>0.37437559076832433</c:v>
                </c:pt>
                <c:pt idx="22">
                  <c:v>0.37437559076832433</c:v>
                </c:pt>
                <c:pt idx="23">
                  <c:v>0.37437559076832433</c:v>
                </c:pt>
                <c:pt idx="24">
                  <c:v>0.37437559076832433</c:v>
                </c:pt>
                <c:pt idx="25">
                  <c:v>0.37437559076832433</c:v>
                </c:pt>
              </c:numCache>
            </c:numRef>
          </c:val>
        </c:ser>
        <c:dLbls/>
        <c:marker val="1"/>
        <c:axId val="146520704"/>
        <c:axId val="146542976"/>
      </c:lineChart>
      <c:catAx>
        <c:axId val="146520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542976"/>
        <c:crosses val="autoZero"/>
        <c:auto val="1"/>
        <c:lblAlgn val="ctr"/>
        <c:lblOffset val="100"/>
      </c:catAx>
      <c:valAx>
        <c:axId val="146542976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52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ru-RU"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'Diag 17-18'!$B$219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'Diag 17-18'!$A$220:$A$245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17-18'!$B$220:$B$245</c:f>
              <c:numCache>
                <c:formatCode>0.00%</c:formatCode>
                <c:ptCount val="26"/>
                <c:pt idx="0">
                  <c:v>0.2</c:v>
                </c:pt>
                <c:pt idx="1">
                  <c:v>0</c:v>
                </c:pt>
                <c:pt idx="2">
                  <c:v>0.52173913043478282</c:v>
                </c:pt>
                <c:pt idx="3">
                  <c:v>0</c:v>
                </c:pt>
                <c:pt idx="4">
                  <c:v>0</c:v>
                </c:pt>
                <c:pt idx="5">
                  <c:v>0.72727272727272729</c:v>
                </c:pt>
                <c:pt idx="6">
                  <c:v>0.58064516129032251</c:v>
                </c:pt>
                <c:pt idx="7">
                  <c:v>0.25423728813559315</c:v>
                </c:pt>
                <c:pt idx="8">
                  <c:v>6.6115702479338859E-2</c:v>
                </c:pt>
                <c:pt idx="9">
                  <c:v>0.45454545454545453</c:v>
                </c:pt>
                <c:pt idx="10">
                  <c:v>0.75000000000000011</c:v>
                </c:pt>
                <c:pt idx="11">
                  <c:v>0.18181818181818188</c:v>
                </c:pt>
                <c:pt idx="12">
                  <c:v>0.25</c:v>
                </c:pt>
                <c:pt idx="13">
                  <c:v>0.55555555555555569</c:v>
                </c:pt>
                <c:pt idx="14">
                  <c:v>0.54545454545454541</c:v>
                </c:pt>
                <c:pt idx="15">
                  <c:v>0.60000000000000009</c:v>
                </c:pt>
                <c:pt idx="16">
                  <c:v>1</c:v>
                </c:pt>
                <c:pt idx="17">
                  <c:v>0.5</c:v>
                </c:pt>
                <c:pt idx="18">
                  <c:v>0.71428571428571441</c:v>
                </c:pt>
                <c:pt idx="19">
                  <c:v>8.3333333333333343E-2</c:v>
                </c:pt>
                <c:pt idx="20">
                  <c:v>5.5555555555555539E-2</c:v>
                </c:pt>
                <c:pt idx="21">
                  <c:v>0.18965517241379309</c:v>
                </c:pt>
                <c:pt idx="22">
                  <c:v>0.56000000000000005</c:v>
                </c:pt>
                <c:pt idx="23">
                  <c:v>0.1428571428571429</c:v>
                </c:pt>
                <c:pt idx="24">
                  <c:v>0.16666666666666666</c:v>
                </c:pt>
                <c:pt idx="25">
                  <c:v>0.33333333333333331</c:v>
                </c:pt>
              </c:numCache>
            </c:numRef>
          </c:val>
        </c:ser>
        <c:ser>
          <c:idx val="1"/>
          <c:order val="1"/>
          <c:tx>
            <c:strRef>
              <c:f>'Diag 17-18'!$C$219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'Diag 17-18'!$A$220:$A$245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17-18'!$C$220:$C$245</c:f>
              <c:numCache>
                <c:formatCode>0%</c:formatCode>
                <c:ptCount val="26"/>
                <c:pt idx="0">
                  <c:v>0.19047619047619052</c:v>
                </c:pt>
                <c:pt idx="1">
                  <c:v>0</c:v>
                </c:pt>
                <c:pt idx="2">
                  <c:v>0.25</c:v>
                </c:pt>
                <c:pt idx="3">
                  <c:v>0.37500000000000006</c:v>
                </c:pt>
                <c:pt idx="4">
                  <c:v>0</c:v>
                </c:pt>
                <c:pt idx="5">
                  <c:v>0.5</c:v>
                </c:pt>
                <c:pt idx="6">
                  <c:v>0.19377162629757783</c:v>
                </c:pt>
                <c:pt idx="7">
                  <c:v>0</c:v>
                </c:pt>
                <c:pt idx="8">
                  <c:v>0.88888888888888884</c:v>
                </c:pt>
                <c:pt idx="9">
                  <c:v>0.45454545454545453</c:v>
                </c:pt>
                <c:pt idx="10">
                  <c:v>1</c:v>
                </c:pt>
                <c:pt idx="11">
                  <c:v>0.5</c:v>
                </c:pt>
                <c:pt idx="12">
                  <c:v>0</c:v>
                </c:pt>
                <c:pt idx="13">
                  <c:v>0.33333333333333331</c:v>
                </c:pt>
                <c:pt idx="14">
                  <c:v>0.54545454545454541</c:v>
                </c:pt>
                <c:pt idx="15">
                  <c:v>0.87500000000000011</c:v>
                </c:pt>
                <c:pt idx="16">
                  <c:v>1</c:v>
                </c:pt>
                <c:pt idx="17">
                  <c:v>0.5</c:v>
                </c:pt>
                <c:pt idx="18">
                  <c:v>0.44444444444444442</c:v>
                </c:pt>
                <c:pt idx="19">
                  <c:v>0.44444444444444442</c:v>
                </c:pt>
                <c:pt idx="20">
                  <c:v>1</c:v>
                </c:pt>
                <c:pt idx="21">
                  <c:v>0.42857142857142855</c:v>
                </c:pt>
                <c:pt idx="22">
                  <c:v>0</c:v>
                </c:pt>
                <c:pt idx="23">
                  <c:v>0</c:v>
                </c:pt>
                <c:pt idx="24">
                  <c:v>0.60000000000000009</c:v>
                </c:pt>
                <c:pt idx="25">
                  <c:v>0.33333333333333331</c:v>
                </c:pt>
              </c:numCache>
            </c:numRef>
          </c:val>
        </c:ser>
        <c:dLbls/>
        <c:gapWidth val="219"/>
        <c:overlap val="-27"/>
        <c:axId val="146596224"/>
        <c:axId val="146597760"/>
      </c:barChart>
      <c:lineChart>
        <c:grouping val="standard"/>
        <c:ser>
          <c:idx val="2"/>
          <c:order val="2"/>
          <c:tx>
            <c:strRef>
              <c:f>'Diag 17-18'!$D$219</c:f>
              <c:strCache>
                <c:ptCount val="1"/>
                <c:pt idx="0">
                  <c:v>Среднее за 2018 год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'Diag 17-18'!$A$220:$A$242</c:f>
              <c:strCache>
                <c:ptCount val="23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</c:strCache>
            </c:strRef>
          </c:cat>
          <c:val>
            <c:numRef>
              <c:f>'Diag 17-18'!$D$220:$D$245</c:f>
              <c:numCache>
                <c:formatCode>0%</c:formatCode>
                <c:ptCount val="26"/>
                <c:pt idx="0">
                  <c:v>0.36281041020892474</c:v>
                </c:pt>
                <c:pt idx="1">
                  <c:v>0.36281041020892474</c:v>
                </c:pt>
                <c:pt idx="2">
                  <c:v>0.36281041020892474</c:v>
                </c:pt>
                <c:pt idx="3">
                  <c:v>0.36281041020892474</c:v>
                </c:pt>
                <c:pt idx="4">
                  <c:v>0.36281041020892474</c:v>
                </c:pt>
                <c:pt idx="5">
                  <c:v>0.36281041020892474</c:v>
                </c:pt>
                <c:pt idx="6">
                  <c:v>0.36281041020892474</c:v>
                </c:pt>
                <c:pt idx="7">
                  <c:v>0.36281041020892474</c:v>
                </c:pt>
                <c:pt idx="8">
                  <c:v>0.36281041020892474</c:v>
                </c:pt>
                <c:pt idx="9">
                  <c:v>0.36281041020892474</c:v>
                </c:pt>
                <c:pt idx="10">
                  <c:v>0.36281041020892474</c:v>
                </c:pt>
                <c:pt idx="11">
                  <c:v>0.36281041020892474</c:v>
                </c:pt>
                <c:pt idx="12">
                  <c:v>0.36281041020892474</c:v>
                </c:pt>
                <c:pt idx="13">
                  <c:v>0.36281041020892474</c:v>
                </c:pt>
                <c:pt idx="14">
                  <c:v>0.36281041020892474</c:v>
                </c:pt>
                <c:pt idx="15">
                  <c:v>0.36281041020892474</c:v>
                </c:pt>
                <c:pt idx="16">
                  <c:v>0.36281041020892474</c:v>
                </c:pt>
                <c:pt idx="17">
                  <c:v>0.36281041020892474</c:v>
                </c:pt>
                <c:pt idx="18">
                  <c:v>0.36281041020892474</c:v>
                </c:pt>
                <c:pt idx="19">
                  <c:v>0.36281041020892474</c:v>
                </c:pt>
                <c:pt idx="20">
                  <c:v>0.36281041020892474</c:v>
                </c:pt>
                <c:pt idx="21">
                  <c:v>0.36281041020892474</c:v>
                </c:pt>
                <c:pt idx="22">
                  <c:v>0.36281041020892474</c:v>
                </c:pt>
                <c:pt idx="23">
                  <c:v>0.36281041020892474</c:v>
                </c:pt>
                <c:pt idx="24">
                  <c:v>0.36281041020892474</c:v>
                </c:pt>
                <c:pt idx="25">
                  <c:v>0.36281041020892474</c:v>
                </c:pt>
              </c:numCache>
            </c:numRef>
          </c:val>
        </c:ser>
        <c:ser>
          <c:idx val="3"/>
          <c:order val="3"/>
          <c:tx>
            <c:strRef>
              <c:f>'Diag 17-18'!$E$219</c:f>
              <c:strCache>
                <c:ptCount val="1"/>
                <c:pt idx="0">
                  <c:v>Среднее за 2019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'Diag 17-18'!$E$220:$E$245</c:f>
              <c:numCache>
                <c:formatCode>0%</c:formatCode>
                <c:ptCount val="26"/>
                <c:pt idx="0">
                  <c:v>0.41758706499190934</c:v>
                </c:pt>
                <c:pt idx="1">
                  <c:v>0.41758706499190934</c:v>
                </c:pt>
                <c:pt idx="2">
                  <c:v>0.41758706499190934</c:v>
                </c:pt>
                <c:pt idx="3">
                  <c:v>0.41758706499190934</c:v>
                </c:pt>
                <c:pt idx="4">
                  <c:v>0.41758706499190934</c:v>
                </c:pt>
                <c:pt idx="5">
                  <c:v>0.41758706499190934</c:v>
                </c:pt>
                <c:pt idx="6">
                  <c:v>0.41758706499190934</c:v>
                </c:pt>
                <c:pt idx="7">
                  <c:v>0.41758706499190934</c:v>
                </c:pt>
                <c:pt idx="8">
                  <c:v>0.41758706499190934</c:v>
                </c:pt>
                <c:pt idx="9">
                  <c:v>0.41758706499190934</c:v>
                </c:pt>
                <c:pt idx="10">
                  <c:v>0.41758706499190934</c:v>
                </c:pt>
                <c:pt idx="11">
                  <c:v>0.41758706499190934</c:v>
                </c:pt>
                <c:pt idx="12">
                  <c:v>0.41758706499190934</c:v>
                </c:pt>
                <c:pt idx="13">
                  <c:v>0.41758706499190934</c:v>
                </c:pt>
                <c:pt idx="14">
                  <c:v>0.41758706499190934</c:v>
                </c:pt>
                <c:pt idx="15">
                  <c:v>0.41758706499190934</c:v>
                </c:pt>
                <c:pt idx="16">
                  <c:v>0.41758706499190934</c:v>
                </c:pt>
                <c:pt idx="17">
                  <c:v>0.41758706499190934</c:v>
                </c:pt>
                <c:pt idx="18">
                  <c:v>0.41758706499190934</c:v>
                </c:pt>
                <c:pt idx="19">
                  <c:v>0.41758706499190934</c:v>
                </c:pt>
                <c:pt idx="20">
                  <c:v>0.41758706499190934</c:v>
                </c:pt>
                <c:pt idx="21">
                  <c:v>0.41758706499190934</c:v>
                </c:pt>
                <c:pt idx="22">
                  <c:v>0.41758706499190934</c:v>
                </c:pt>
                <c:pt idx="23">
                  <c:v>0.41758706499190934</c:v>
                </c:pt>
                <c:pt idx="24">
                  <c:v>0.41758706499190934</c:v>
                </c:pt>
                <c:pt idx="25">
                  <c:v>0.41758706499190934</c:v>
                </c:pt>
              </c:numCache>
            </c:numRef>
          </c:val>
        </c:ser>
        <c:dLbls/>
        <c:marker val="1"/>
        <c:axId val="146596224"/>
        <c:axId val="146597760"/>
      </c:lineChart>
      <c:catAx>
        <c:axId val="146596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597760"/>
        <c:crosses val="autoZero"/>
        <c:auto val="1"/>
        <c:lblAlgn val="ctr"/>
        <c:lblOffset val="100"/>
      </c:catAx>
      <c:valAx>
        <c:axId val="146597760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59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ru-RU"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 lang="ru-RU" sz="1050" b="0" i="0" u="none" strike="noStrike" kern="1200" baseline="0">
          <a:solidFill>
            <a:schemeClr val="tx1">
              <a:lumMod val="65000"/>
              <a:lumOff val="35000"/>
            </a:schemeClr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'Diag 17-18'!$B$249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'Diag 17-18'!$A$250:$A$275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17-18'!$B$250:$B$275</c:f>
              <c:numCache>
                <c:formatCode>0.00%</c:formatCode>
                <c:ptCount val="26"/>
                <c:pt idx="0">
                  <c:v>0.12307692307692311</c:v>
                </c:pt>
                <c:pt idx="1">
                  <c:v>0</c:v>
                </c:pt>
                <c:pt idx="2">
                  <c:v>0.47826086956521746</c:v>
                </c:pt>
                <c:pt idx="3">
                  <c:v>0</c:v>
                </c:pt>
                <c:pt idx="4">
                  <c:v>0</c:v>
                </c:pt>
                <c:pt idx="5">
                  <c:v>0.3636363636363637</c:v>
                </c:pt>
                <c:pt idx="6">
                  <c:v>0.5</c:v>
                </c:pt>
                <c:pt idx="7">
                  <c:v>0.18220338983050849</c:v>
                </c:pt>
                <c:pt idx="8">
                  <c:v>0.17355371900826447</c:v>
                </c:pt>
                <c:pt idx="9">
                  <c:v>0.27272727272727276</c:v>
                </c:pt>
                <c:pt idx="10">
                  <c:v>0.75000000000000011</c:v>
                </c:pt>
                <c:pt idx="11">
                  <c:v>0.18181818181818188</c:v>
                </c:pt>
                <c:pt idx="12">
                  <c:v>0.25</c:v>
                </c:pt>
                <c:pt idx="13">
                  <c:v>0.22222222222222221</c:v>
                </c:pt>
                <c:pt idx="14">
                  <c:v>0.54545454545454541</c:v>
                </c:pt>
                <c:pt idx="15">
                  <c:v>0.60000000000000009</c:v>
                </c:pt>
                <c:pt idx="16">
                  <c:v>0</c:v>
                </c:pt>
                <c:pt idx="17">
                  <c:v>0.5</c:v>
                </c:pt>
                <c:pt idx="18">
                  <c:v>0.6428571428571429</c:v>
                </c:pt>
                <c:pt idx="19">
                  <c:v>0.10416666666666669</c:v>
                </c:pt>
                <c:pt idx="20">
                  <c:v>8.3333333333333343E-2</c:v>
                </c:pt>
                <c:pt idx="21">
                  <c:v>5.1724137931034489E-2</c:v>
                </c:pt>
                <c:pt idx="22">
                  <c:v>0.48000000000000004</c:v>
                </c:pt>
                <c:pt idx="23">
                  <c:v>0</c:v>
                </c:pt>
                <c:pt idx="24">
                  <c:v>0.33333333333333331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'Diag 17-18'!$C$249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'Diag 17-18'!$A$250:$A$275</c:f>
              <c:strCache>
                <c:ptCount val="26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  <c:pt idx="23">
                  <c:v>Устьянский район*</c:v>
                </c:pt>
                <c:pt idx="24">
                  <c:v>Холмогорский район</c:v>
                </c:pt>
                <c:pt idx="25">
                  <c:v>Шенкурский район*</c:v>
                </c:pt>
              </c:strCache>
            </c:strRef>
          </c:cat>
          <c:val>
            <c:numRef>
              <c:f>'Diag 17-18'!$C$250:$C$275</c:f>
              <c:numCache>
                <c:formatCode>0%</c:formatCode>
                <c:ptCount val="26"/>
                <c:pt idx="0">
                  <c:v>0.19047619047619052</c:v>
                </c:pt>
                <c:pt idx="1">
                  <c:v>0</c:v>
                </c:pt>
                <c:pt idx="2">
                  <c:v>0.5</c:v>
                </c:pt>
                <c:pt idx="3">
                  <c:v>0.25</c:v>
                </c:pt>
                <c:pt idx="4">
                  <c:v>0</c:v>
                </c:pt>
                <c:pt idx="5">
                  <c:v>0.35714285714285726</c:v>
                </c:pt>
                <c:pt idx="6">
                  <c:v>0.23875432525951557</c:v>
                </c:pt>
                <c:pt idx="7">
                  <c:v>0</c:v>
                </c:pt>
                <c:pt idx="8">
                  <c:v>0.88888888888888884</c:v>
                </c:pt>
                <c:pt idx="9">
                  <c:v>0.27272727272727276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0.16666666666666666</c:v>
                </c:pt>
                <c:pt idx="14">
                  <c:v>0.54545454545454541</c:v>
                </c:pt>
                <c:pt idx="15">
                  <c:v>0.62500000000000011</c:v>
                </c:pt>
                <c:pt idx="16">
                  <c:v>0</c:v>
                </c:pt>
                <c:pt idx="17">
                  <c:v>0.5</c:v>
                </c:pt>
                <c:pt idx="18">
                  <c:v>0.44444444444444442</c:v>
                </c:pt>
                <c:pt idx="19">
                  <c:v>0.44444444444444442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0.45</c:v>
                </c:pt>
                <c:pt idx="25">
                  <c:v>0</c:v>
                </c:pt>
              </c:numCache>
            </c:numRef>
          </c:val>
        </c:ser>
        <c:dLbls/>
        <c:gapWidth val="219"/>
        <c:overlap val="-27"/>
        <c:axId val="146806656"/>
        <c:axId val="146808192"/>
      </c:barChart>
      <c:lineChart>
        <c:grouping val="standard"/>
        <c:ser>
          <c:idx val="2"/>
          <c:order val="2"/>
          <c:tx>
            <c:strRef>
              <c:f>'Diag 17-18'!$D$249</c:f>
              <c:strCache>
                <c:ptCount val="1"/>
                <c:pt idx="0">
                  <c:v>Среднее за 2018 год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'Diag 17-18'!$A$250:$A$272</c:f>
              <c:strCache>
                <c:ptCount val="23"/>
                <c:pt idx="0">
                  <c:v>Архангельск</c:v>
                </c:pt>
                <c:pt idx="1">
                  <c:v>Коряжма*</c:v>
                </c:pt>
                <c:pt idx="2">
                  <c:v>Котлас*</c:v>
                </c:pt>
                <c:pt idx="3">
                  <c:v>Мирный*</c:v>
                </c:pt>
                <c:pt idx="4">
                  <c:v>Новая Земля*</c:v>
                </c:pt>
                <c:pt idx="5">
                  <c:v>Новодвинск</c:v>
                </c:pt>
                <c:pt idx="6">
                  <c:v>Северодвинск</c:v>
                </c:pt>
                <c:pt idx="7">
                  <c:v>Вельский район*</c:v>
                </c:pt>
                <c:pt idx="8">
                  <c:v>Верхнетоемский район*</c:v>
                </c:pt>
                <c:pt idx="9">
                  <c:v>Вилегодский район</c:v>
                </c:pt>
                <c:pt idx="10">
                  <c:v>Виноградовский район</c:v>
                </c:pt>
                <c:pt idx="11">
                  <c:v>Каргопольский район*</c:v>
                </c:pt>
                <c:pt idx="12">
                  <c:v>Коношский район*</c:v>
                </c:pt>
                <c:pt idx="13">
                  <c:v>Котласский район*</c:v>
                </c:pt>
                <c:pt idx="14">
                  <c:v>Красноборский район</c:v>
                </c:pt>
                <c:pt idx="15">
                  <c:v>Ленский район*</c:v>
                </c:pt>
                <c:pt idx="16">
                  <c:v>Лешуконский район*</c:v>
                </c:pt>
                <c:pt idx="17">
                  <c:v>Мезенский район*</c:v>
                </c:pt>
                <c:pt idx="18">
                  <c:v>Няндомский район*</c:v>
                </c:pt>
                <c:pt idx="19">
                  <c:v>Онежский район*</c:v>
                </c:pt>
                <c:pt idx="20">
                  <c:v>Пинежский район*</c:v>
                </c:pt>
                <c:pt idx="21">
                  <c:v>Плесецкий район*</c:v>
                </c:pt>
                <c:pt idx="22">
                  <c:v>Приморский район*</c:v>
                </c:pt>
              </c:strCache>
            </c:strRef>
          </c:cat>
          <c:val>
            <c:numRef>
              <c:f>'Diag 17-18'!$D$250:$D$275</c:f>
              <c:numCache>
                <c:formatCode>0%</c:formatCode>
                <c:ptCount val="26"/>
                <c:pt idx="0">
                  <c:v>0.2630141577485004</c:v>
                </c:pt>
                <c:pt idx="1">
                  <c:v>0.2630141577485004</c:v>
                </c:pt>
                <c:pt idx="2">
                  <c:v>0.2630141577485004</c:v>
                </c:pt>
                <c:pt idx="3">
                  <c:v>0.2630141577485004</c:v>
                </c:pt>
                <c:pt idx="4">
                  <c:v>0.2630141577485004</c:v>
                </c:pt>
                <c:pt idx="5">
                  <c:v>0.2630141577485004</c:v>
                </c:pt>
                <c:pt idx="6">
                  <c:v>0.2630141577485004</c:v>
                </c:pt>
                <c:pt idx="7">
                  <c:v>0.2630141577485004</c:v>
                </c:pt>
                <c:pt idx="8">
                  <c:v>0.2630141577485004</c:v>
                </c:pt>
                <c:pt idx="9">
                  <c:v>0.2630141577485004</c:v>
                </c:pt>
                <c:pt idx="10">
                  <c:v>0.2630141577485004</c:v>
                </c:pt>
                <c:pt idx="11">
                  <c:v>0.2630141577485004</c:v>
                </c:pt>
                <c:pt idx="12">
                  <c:v>0.2630141577485004</c:v>
                </c:pt>
                <c:pt idx="13">
                  <c:v>0.2630141577485004</c:v>
                </c:pt>
                <c:pt idx="14">
                  <c:v>0.2630141577485004</c:v>
                </c:pt>
                <c:pt idx="15">
                  <c:v>0.2630141577485004</c:v>
                </c:pt>
                <c:pt idx="16">
                  <c:v>0.2630141577485004</c:v>
                </c:pt>
                <c:pt idx="17">
                  <c:v>0.2630141577485004</c:v>
                </c:pt>
                <c:pt idx="18">
                  <c:v>0.2630141577485004</c:v>
                </c:pt>
                <c:pt idx="19">
                  <c:v>0.2630141577485004</c:v>
                </c:pt>
                <c:pt idx="20">
                  <c:v>0.2630141577485004</c:v>
                </c:pt>
                <c:pt idx="21">
                  <c:v>0.2630141577485004</c:v>
                </c:pt>
                <c:pt idx="22">
                  <c:v>0.2630141577485004</c:v>
                </c:pt>
                <c:pt idx="23">
                  <c:v>0.2630141577485004</c:v>
                </c:pt>
                <c:pt idx="24">
                  <c:v>0.2630141577485004</c:v>
                </c:pt>
                <c:pt idx="25">
                  <c:v>0.2630141577485004</c:v>
                </c:pt>
              </c:numCache>
            </c:numRef>
          </c:val>
        </c:ser>
        <c:ser>
          <c:idx val="3"/>
          <c:order val="3"/>
          <c:tx>
            <c:strRef>
              <c:f>'Diag 17-18'!$E$249</c:f>
              <c:strCache>
                <c:ptCount val="1"/>
                <c:pt idx="0">
                  <c:v>Среднее за 2019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'Diag 17-18'!$E$250:$E$275</c:f>
              <c:numCache>
                <c:formatCode>0%</c:formatCode>
                <c:ptCount val="26"/>
                <c:pt idx="0">
                  <c:v>0.34130767828864722</c:v>
                </c:pt>
                <c:pt idx="1">
                  <c:v>0.34130767828864722</c:v>
                </c:pt>
                <c:pt idx="2">
                  <c:v>0.34130767828864722</c:v>
                </c:pt>
                <c:pt idx="3">
                  <c:v>0.34130767828864722</c:v>
                </c:pt>
                <c:pt idx="4">
                  <c:v>0.34130767828864722</c:v>
                </c:pt>
                <c:pt idx="5">
                  <c:v>0.34130767828864722</c:v>
                </c:pt>
                <c:pt idx="6">
                  <c:v>0.34130767828864722</c:v>
                </c:pt>
                <c:pt idx="7">
                  <c:v>0.34130767828864722</c:v>
                </c:pt>
                <c:pt idx="8">
                  <c:v>0.34130767828864722</c:v>
                </c:pt>
                <c:pt idx="9">
                  <c:v>0.34130767828864722</c:v>
                </c:pt>
                <c:pt idx="10">
                  <c:v>0.34130767828864722</c:v>
                </c:pt>
                <c:pt idx="11">
                  <c:v>0.34130767828864722</c:v>
                </c:pt>
                <c:pt idx="12">
                  <c:v>0.34130767828864722</c:v>
                </c:pt>
                <c:pt idx="13">
                  <c:v>0.34130767828864722</c:v>
                </c:pt>
                <c:pt idx="14">
                  <c:v>0.34130767828864722</c:v>
                </c:pt>
                <c:pt idx="15">
                  <c:v>0.34130767828864722</c:v>
                </c:pt>
                <c:pt idx="16">
                  <c:v>0.34130767828864722</c:v>
                </c:pt>
                <c:pt idx="17">
                  <c:v>0.34130767828864722</c:v>
                </c:pt>
                <c:pt idx="18">
                  <c:v>0.34130767828864722</c:v>
                </c:pt>
                <c:pt idx="19">
                  <c:v>0.34130767828864722</c:v>
                </c:pt>
                <c:pt idx="20">
                  <c:v>0.34130767828864722</c:v>
                </c:pt>
                <c:pt idx="21">
                  <c:v>0.34130767828864722</c:v>
                </c:pt>
                <c:pt idx="22">
                  <c:v>0.34130767828864722</c:v>
                </c:pt>
                <c:pt idx="23">
                  <c:v>0.34130767828864722</c:v>
                </c:pt>
                <c:pt idx="24">
                  <c:v>0.34130767828864722</c:v>
                </c:pt>
                <c:pt idx="25">
                  <c:v>0.34130767828864722</c:v>
                </c:pt>
              </c:numCache>
            </c:numRef>
          </c:val>
        </c:ser>
        <c:dLbls/>
        <c:marker val="1"/>
        <c:axId val="146806656"/>
        <c:axId val="146808192"/>
      </c:lineChart>
      <c:catAx>
        <c:axId val="146806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808192"/>
        <c:crosses val="autoZero"/>
        <c:auto val="1"/>
        <c:lblAlgn val="ctr"/>
        <c:lblOffset val="100"/>
      </c:catAx>
      <c:valAx>
        <c:axId val="146808192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80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ru-RU"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Ворд</Template>
  <TotalTime>3</TotalTime>
  <Pages>8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Алена Владимировна</dc:creator>
  <cp:lastModifiedBy>econ3</cp:lastModifiedBy>
  <cp:revision>2</cp:revision>
  <dcterms:created xsi:type="dcterms:W3CDTF">2020-01-16T11:37:00Z</dcterms:created>
  <dcterms:modified xsi:type="dcterms:W3CDTF">2020-01-16T11:37:00Z</dcterms:modified>
</cp:coreProperties>
</file>