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2C3" w:rsidRDefault="007A7744" w:rsidP="0099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972C3">
        <w:rPr>
          <w:b/>
          <w:sz w:val="28"/>
          <w:szCs w:val="28"/>
        </w:rPr>
        <w:t>Отчет</w:t>
      </w:r>
    </w:p>
    <w:p w:rsidR="002A7615" w:rsidRDefault="009972C3" w:rsidP="0099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реализации муниципальной программы «Развитие  и поддержка территориального общественного самоуправления и социально ориентированных некоммерческих организаций </w:t>
      </w:r>
    </w:p>
    <w:p w:rsidR="009972C3" w:rsidRDefault="00CE4C50" w:rsidP="0099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 Пинежском районе на 2017-2020</w:t>
      </w:r>
      <w:r w:rsidR="009972C3">
        <w:rPr>
          <w:b/>
          <w:sz w:val="28"/>
          <w:szCs w:val="28"/>
        </w:rPr>
        <w:t xml:space="preserve"> г</w:t>
      </w:r>
      <w:r w:rsidR="002A7615">
        <w:rPr>
          <w:b/>
          <w:sz w:val="28"/>
          <w:szCs w:val="28"/>
        </w:rPr>
        <w:t>оды</w:t>
      </w:r>
      <w:r w:rsidR="009972C3">
        <w:rPr>
          <w:b/>
          <w:sz w:val="28"/>
          <w:szCs w:val="28"/>
        </w:rPr>
        <w:t>»</w:t>
      </w:r>
    </w:p>
    <w:p w:rsidR="009972C3" w:rsidRDefault="00A407E0" w:rsidP="009972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 201</w:t>
      </w:r>
      <w:r w:rsidR="00AC19F7">
        <w:rPr>
          <w:b/>
          <w:sz w:val="28"/>
          <w:szCs w:val="28"/>
        </w:rPr>
        <w:t>9</w:t>
      </w:r>
      <w:r w:rsidR="009972C3">
        <w:rPr>
          <w:b/>
          <w:sz w:val="28"/>
          <w:szCs w:val="28"/>
        </w:rPr>
        <w:t xml:space="preserve"> год</w:t>
      </w:r>
    </w:p>
    <w:p w:rsidR="009972C3" w:rsidRDefault="009972C3" w:rsidP="009972C3">
      <w:pPr>
        <w:rPr>
          <w:sz w:val="28"/>
          <w:szCs w:val="28"/>
        </w:rPr>
      </w:pPr>
    </w:p>
    <w:p w:rsidR="009972C3" w:rsidRDefault="009972C3" w:rsidP="009972C3">
      <w:pPr>
        <w:rPr>
          <w:sz w:val="28"/>
          <w:szCs w:val="28"/>
        </w:rPr>
      </w:pPr>
    </w:p>
    <w:p w:rsidR="009972C3" w:rsidRDefault="009972C3" w:rsidP="00665F34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Наименование   муниципальной программы:</w:t>
      </w:r>
      <w:r>
        <w:rPr>
          <w:b/>
          <w:sz w:val="28"/>
          <w:szCs w:val="28"/>
        </w:rPr>
        <w:t xml:space="preserve"> «Развитие  и поддержка территориального общественного самоуправления и социально ориентированных некоммерческих организаций в  Пинежс</w:t>
      </w:r>
      <w:r w:rsidR="00CE4C50">
        <w:rPr>
          <w:b/>
          <w:sz w:val="28"/>
          <w:szCs w:val="28"/>
        </w:rPr>
        <w:t>ком муниципальном районе на 2017-2020</w:t>
      </w:r>
      <w:r>
        <w:rPr>
          <w:b/>
          <w:sz w:val="28"/>
          <w:szCs w:val="28"/>
        </w:rPr>
        <w:t xml:space="preserve"> г</w:t>
      </w:r>
      <w:r w:rsidR="002A7615">
        <w:rPr>
          <w:b/>
          <w:sz w:val="28"/>
          <w:szCs w:val="28"/>
        </w:rPr>
        <w:t>оды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(далее - Программа)</w:t>
      </w:r>
    </w:p>
    <w:p w:rsidR="009972C3" w:rsidRDefault="009972C3" w:rsidP="009972C3">
      <w:pPr>
        <w:rPr>
          <w:sz w:val="28"/>
          <w:szCs w:val="28"/>
        </w:rPr>
      </w:pPr>
    </w:p>
    <w:p w:rsidR="009972C3" w:rsidRDefault="009972C3" w:rsidP="009972C3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="00CE4C50">
        <w:rPr>
          <w:b/>
          <w:sz w:val="28"/>
          <w:szCs w:val="28"/>
        </w:rPr>
        <w:t>201</w:t>
      </w:r>
      <w:r w:rsidR="00AC19F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9972C3" w:rsidRDefault="009972C3" w:rsidP="009972C3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9972C3" w:rsidRDefault="009972C3" w:rsidP="009972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2A761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 по культуре и туризму  Администрации муниципального образования   «Пинежский муниципальный район» (далее администрация МО «Пинежский район»)</w:t>
      </w:r>
    </w:p>
    <w:p w:rsidR="009972C3" w:rsidRDefault="009972C3" w:rsidP="009972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72C3" w:rsidRDefault="009972C3" w:rsidP="009972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Соисполнитель муниципальной программы:  Отдел по социальным вопросам, молодежной политике и спорту администрации МО «Пинежский район».</w:t>
      </w:r>
    </w:p>
    <w:p w:rsidR="009972C3" w:rsidRDefault="009972C3" w:rsidP="009972C3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972C3" w:rsidRDefault="009972C3" w:rsidP="00665F34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программы:</w:t>
      </w:r>
    </w:p>
    <w:p w:rsidR="009972C3" w:rsidRDefault="009972C3" w:rsidP="009972C3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9972C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C3" w:rsidRDefault="009972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Цель  Программы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C3" w:rsidRDefault="00CE4C5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E4C50">
              <w:rPr>
                <w:rFonts w:ascii="Times New Roman" w:hAnsi="Times New Roman" w:cs="Times New Roman"/>
                <w:sz w:val="24"/>
                <w:szCs w:val="24"/>
              </w:rPr>
              <w:t xml:space="preserve">оздание условий для развития и совершенствования территориального общественного самоуправления (далее - ТОС) и повышения устойчивости и эффективности деятельности СО НКО, за исключением государственных и муниципальных учреждений, на территории Пинежского района. </w:t>
            </w:r>
          </w:p>
        </w:tc>
      </w:tr>
      <w:tr w:rsidR="009972C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C3" w:rsidRDefault="009972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Сведения о результатах реализации Программы за отчетный период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5A" w:rsidRDefault="001B46F5" w:rsidP="00447D5A">
            <w:pPr>
              <w:jc w:val="both"/>
            </w:pPr>
            <w:r>
              <w:t xml:space="preserve"> </w:t>
            </w:r>
            <w:r w:rsidR="00447D5A">
              <w:t xml:space="preserve">В ходе реализации программных мероприятий были проведены мероприятия направленные на создание условий для эффективной деятельности органов ТОС и СОНКО в Пинежском районе: </w:t>
            </w:r>
          </w:p>
          <w:p w:rsidR="006C66DE" w:rsidRDefault="001B46F5" w:rsidP="001B46F5">
            <w:pPr>
              <w:jc w:val="both"/>
              <w:rPr>
                <w:b/>
              </w:rPr>
            </w:pPr>
            <w:r>
              <w:t xml:space="preserve">      </w:t>
            </w:r>
            <w:r w:rsidR="00447D5A">
              <w:t>-</w:t>
            </w:r>
            <w:r w:rsidR="00D32E9D">
              <w:t xml:space="preserve"> </w:t>
            </w:r>
            <w:r w:rsidR="00447D5A" w:rsidRPr="006C66DE">
              <w:rPr>
                <w:b/>
              </w:rPr>
              <w:t>Предоставление субсидий</w:t>
            </w:r>
            <w:r w:rsidR="00A03061">
              <w:rPr>
                <w:b/>
              </w:rPr>
              <w:t xml:space="preserve"> по результатам ежегодного ко</w:t>
            </w:r>
            <w:r w:rsidR="006C66DE" w:rsidRPr="006C66DE">
              <w:rPr>
                <w:b/>
              </w:rPr>
              <w:t>нкурса проектов развития территориального общественного самоуправления в муниципальном образовании «Пинежский муниципальный район»</w:t>
            </w:r>
          </w:p>
          <w:p w:rsidR="001B46F5" w:rsidRDefault="000566A3" w:rsidP="00A03061">
            <w:pPr>
              <w:ind w:firstLine="252"/>
              <w:jc w:val="both"/>
            </w:pPr>
            <w:r>
              <w:t xml:space="preserve">В рамках заключенного соглашения с Администрацией Губернатора Архангельской области и </w:t>
            </w:r>
            <w:r>
              <w:lastRenderedPageBreak/>
              <w:t xml:space="preserve">Правительством Архангельской области о предоставлении субсидии на поддержку территориального общественного самоуправления с целью </w:t>
            </w:r>
            <w:proofErr w:type="spellStart"/>
            <w:r>
              <w:t>софинансирования</w:t>
            </w:r>
            <w:proofErr w:type="spellEnd"/>
            <w:r>
              <w:t xml:space="preserve"> проектов, разработанных ТОС муниципального образования «Пинежский муниципальный район» предоставлена субсидия </w:t>
            </w:r>
            <w:r w:rsidR="001B46F5">
              <w:t>на сумму</w:t>
            </w:r>
            <w:r w:rsidR="001B46F5">
              <w:rPr>
                <w:bCs/>
              </w:rPr>
              <w:t xml:space="preserve"> </w:t>
            </w:r>
            <w:r w:rsidR="00AC19F7">
              <w:rPr>
                <w:bCs/>
                <w:noProof/>
              </w:rPr>
              <w:t>1 140 100</w:t>
            </w:r>
            <w:r w:rsidR="001B46F5">
              <w:rPr>
                <w:bCs/>
              </w:rPr>
              <w:t xml:space="preserve"> рублей. Из районного бюджета </w:t>
            </w:r>
            <w:r w:rsidR="001F3411">
              <w:rPr>
                <w:bCs/>
              </w:rPr>
              <w:t xml:space="preserve">на эти же цели было выделено </w:t>
            </w:r>
            <w:r w:rsidR="00AC19F7">
              <w:rPr>
                <w:bCs/>
              </w:rPr>
              <w:t>1 350 000</w:t>
            </w:r>
            <w:r w:rsidR="001B46F5">
              <w:rPr>
                <w:bCs/>
              </w:rPr>
              <w:t xml:space="preserve"> рублей.</w:t>
            </w:r>
            <w:r w:rsidR="001B46F5">
              <w:t xml:space="preserve"> В рамках конкурса было профинансировано </w:t>
            </w:r>
            <w:r w:rsidR="00E64DBF">
              <w:t>23</w:t>
            </w:r>
            <w:r w:rsidR="001B46F5">
              <w:t xml:space="preserve"> проект</w:t>
            </w:r>
            <w:r w:rsidR="00E64DBF">
              <w:t>а</w:t>
            </w:r>
            <w:r w:rsidR="001B46F5">
              <w:t xml:space="preserve"> органов ТОС.</w:t>
            </w:r>
          </w:p>
          <w:p w:rsidR="00643027" w:rsidRDefault="00643027" w:rsidP="00643027">
            <w:pPr>
              <w:ind w:firstLine="252"/>
              <w:jc w:val="both"/>
            </w:pPr>
            <w:r>
              <w:t xml:space="preserve">-  </w:t>
            </w:r>
            <w:r w:rsidRPr="00637B0E">
              <w:rPr>
                <w:b/>
              </w:rPr>
              <w:t>Предоставление субсидий на реализацию целевых социальных проектов социально ориентированным некоммерческим организациям</w:t>
            </w:r>
            <w:r w:rsidR="00637B0E">
              <w:rPr>
                <w:b/>
              </w:rPr>
              <w:t>.</w:t>
            </w:r>
          </w:p>
          <w:p w:rsidR="00643027" w:rsidRDefault="00A407E0" w:rsidP="00643027">
            <w:pPr>
              <w:ind w:firstLine="252"/>
              <w:jc w:val="both"/>
            </w:pPr>
            <w:r>
              <w:t xml:space="preserve">    </w:t>
            </w:r>
            <w:proofErr w:type="gramStart"/>
            <w:r w:rsidR="00E64DBF">
              <w:t>04</w:t>
            </w:r>
            <w:r>
              <w:t xml:space="preserve"> </w:t>
            </w:r>
            <w:r w:rsidR="00E64DBF">
              <w:t>сентябр</w:t>
            </w:r>
            <w:r>
              <w:t>я 201</w:t>
            </w:r>
            <w:r w:rsidR="00E64DBF">
              <w:t>9</w:t>
            </w:r>
            <w:r w:rsidR="00643027">
              <w:t xml:space="preserve"> года заключено соглашение о предоставлении субсидии из областного бюджета местному бюджету </w:t>
            </w:r>
            <w:r w:rsidR="000566A3">
              <w:t>МО</w:t>
            </w:r>
            <w:r w:rsidR="00643027">
              <w:t xml:space="preserve"> </w:t>
            </w:r>
            <w:r w:rsidR="00637B0E" w:rsidRPr="00637B0E">
              <w:t>«Пинежский район»</w:t>
            </w:r>
            <w:r w:rsidR="00637B0E">
              <w:t xml:space="preserve"> </w:t>
            </w:r>
            <w:r w:rsidR="00643027">
              <w:t>на реализацию муниципальной программы, предусматривающей поддержку социально ориентирован</w:t>
            </w:r>
            <w:r w:rsidR="00637B0E">
              <w:t>ных некоммерческих организаций между</w:t>
            </w:r>
            <w:r w:rsidR="00643027">
              <w:t xml:space="preserve"> Администрацией Губернатора Архангельской области и Правительства Архангельской области</w:t>
            </w:r>
            <w:r w:rsidR="00637B0E">
              <w:t xml:space="preserve"> и администрацией </w:t>
            </w:r>
            <w:r w:rsidR="000566A3">
              <w:t xml:space="preserve">МО «Пинежский </w:t>
            </w:r>
            <w:r w:rsidR="00637B0E" w:rsidRPr="00637B0E">
              <w:t xml:space="preserve"> район»</w:t>
            </w:r>
            <w:r w:rsidR="00643027">
              <w:t xml:space="preserve">, предметом которого являлось предоставление </w:t>
            </w:r>
            <w:r w:rsidR="00637B0E">
              <w:t>в 201</w:t>
            </w:r>
            <w:r w:rsidR="005A3AA0">
              <w:t>9</w:t>
            </w:r>
            <w:r w:rsidR="00637B0E">
              <w:t xml:space="preserve"> году субсидии из областного бюджета местному бюджету </w:t>
            </w:r>
            <w:r w:rsidR="000566A3">
              <w:t>МО</w:t>
            </w:r>
            <w:r w:rsidR="00637B0E" w:rsidRPr="00637B0E">
              <w:t xml:space="preserve"> «Пинежский район» </w:t>
            </w:r>
            <w:r w:rsidR="00637B0E">
              <w:t>в целях</w:t>
            </w:r>
            <w:r w:rsidR="00643027">
              <w:t xml:space="preserve"> </w:t>
            </w:r>
            <w:proofErr w:type="spellStart"/>
            <w:r w:rsidR="00643027">
              <w:t>софинансирования</w:t>
            </w:r>
            <w:proofErr w:type="spellEnd"/>
            <w:proofErr w:type="gramEnd"/>
            <w:r w:rsidR="00643027">
              <w:t xml:space="preserve"> расходных обязательств муниципального образования по финансовой поддержке СО НКО, возникающих при реализации муниципальной программы, предусматриваю</w:t>
            </w:r>
            <w:r w:rsidR="00637B0E">
              <w:t xml:space="preserve">щей поддержку СО НКО на сумму </w:t>
            </w:r>
            <w:r w:rsidR="005A3AA0">
              <w:t>256 545 рублей</w:t>
            </w:r>
            <w:r w:rsidR="00643027">
              <w:t>. Из районного бюджета на эти же цели было выделено 10 000 рублей. В рамках конкурса было профинансировано 3 проекта СО НКО.</w:t>
            </w:r>
          </w:p>
          <w:p w:rsidR="00622548" w:rsidRDefault="001B46F5" w:rsidP="00622548">
            <w:r>
              <w:t xml:space="preserve">   </w:t>
            </w:r>
            <w:r w:rsidRPr="00EB62B4">
              <w:rPr>
                <w:b/>
                <w:bCs/>
              </w:rPr>
              <w:t xml:space="preserve">     </w:t>
            </w:r>
            <w:r w:rsidR="00EB62B4" w:rsidRPr="00EB62B4">
              <w:rPr>
                <w:b/>
                <w:bCs/>
              </w:rPr>
              <w:t>-</w:t>
            </w:r>
            <w:r w:rsidRPr="00EB62B4">
              <w:rPr>
                <w:b/>
                <w:bCs/>
              </w:rPr>
              <w:t xml:space="preserve">  </w:t>
            </w:r>
            <w:r w:rsidR="00637B0E" w:rsidRPr="00637B0E">
              <w:rPr>
                <w:b/>
                <w:bCs/>
              </w:rPr>
              <w:t>Участие в межрайонных и межрегиональных мероприятиях в сфере развития гражданского общества.</w:t>
            </w:r>
            <w:r w:rsidR="00622548">
              <w:t xml:space="preserve"> </w:t>
            </w:r>
          </w:p>
          <w:p w:rsidR="00622548" w:rsidRPr="00622548" w:rsidRDefault="00F11579" w:rsidP="00433266">
            <w:pPr>
              <w:rPr>
                <w:b/>
                <w:bCs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 представители</w:t>
            </w:r>
            <w:r w:rsidR="0074380F">
              <w:t xml:space="preserve"> ТОС</w:t>
            </w:r>
            <w:r>
              <w:t xml:space="preserve"> приняли участие </w:t>
            </w:r>
            <w:r w:rsidR="00622548" w:rsidRPr="00622548">
              <w:rPr>
                <w:bCs/>
              </w:rPr>
              <w:t xml:space="preserve"> в Форуме Общественной палаты РФ "Сообщество" в г. Архангельске</w:t>
            </w:r>
            <w:r w:rsidR="00622548">
              <w:rPr>
                <w:bCs/>
              </w:rPr>
              <w:t>;</w:t>
            </w:r>
            <w:r>
              <w:rPr>
                <w:bCs/>
              </w:rPr>
              <w:t xml:space="preserve"> </w:t>
            </w:r>
            <w:r w:rsidR="00622548" w:rsidRPr="00622548">
              <w:rPr>
                <w:bCs/>
              </w:rPr>
              <w:t xml:space="preserve"> во Всероссийском научно-практической конференции "</w:t>
            </w:r>
            <w:proofErr w:type="spellStart"/>
            <w:r w:rsidR="00622548" w:rsidRPr="00622548">
              <w:rPr>
                <w:bCs/>
              </w:rPr>
              <w:t>Кенозерские</w:t>
            </w:r>
            <w:proofErr w:type="spellEnd"/>
            <w:r w:rsidR="00622548" w:rsidRPr="00622548">
              <w:rPr>
                <w:bCs/>
              </w:rPr>
              <w:t xml:space="preserve"> чтения - 2019. Гражданские </w:t>
            </w:r>
            <w:r w:rsidR="00622548">
              <w:rPr>
                <w:bCs/>
              </w:rPr>
              <w:t>инициативы в заповедном укладе</w:t>
            </w:r>
            <w:r w:rsidR="00622548" w:rsidRPr="00622548">
              <w:rPr>
                <w:bCs/>
              </w:rPr>
              <w:t>";</w:t>
            </w:r>
            <w:r>
              <w:rPr>
                <w:bCs/>
              </w:rPr>
              <w:t xml:space="preserve"> в </w:t>
            </w:r>
            <w:r w:rsidR="00622548" w:rsidRPr="00622548">
              <w:rPr>
                <w:bCs/>
              </w:rPr>
              <w:t>семинар</w:t>
            </w:r>
            <w:r>
              <w:rPr>
                <w:bCs/>
              </w:rPr>
              <w:t>е</w:t>
            </w:r>
            <w:r w:rsidR="00622548" w:rsidRPr="00622548">
              <w:rPr>
                <w:bCs/>
              </w:rPr>
              <w:t>-дискуссии "ТОС как полноправный игрок в развитии местной экономики" - на территории МО "Сурское"</w:t>
            </w:r>
            <w:r w:rsidR="00622548">
              <w:rPr>
                <w:bCs/>
              </w:rPr>
              <w:t>;</w:t>
            </w:r>
            <w:r w:rsidR="00433266">
              <w:rPr>
                <w:bCs/>
              </w:rPr>
              <w:t xml:space="preserve"> </w:t>
            </w:r>
            <w:r w:rsidR="00622548" w:rsidRPr="00622548">
              <w:rPr>
                <w:bCs/>
              </w:rPr>
              <w:t xml:space="preserve"> в 4 межрегиональной конференции пред</w:t>
            </w:r>
            <w:r w:rsidR="00622548">
              <w:rPr>
                <w:bCs/>
              </w:rPr>
              <w:t>ставителей ТОС в г. Архангельск.</w:t>
            </w:r>
          </w:p>
          <w:p w:rsidR="00BA19C1" w:rsidRDefault="00BA19C1" w:rsidP="006225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- </w:t>
            </w:r>
            <w:r w:rsidR="00622548" w:rsidRPr="00622548">
              <w:rPr>
                <w:b/>
                <w:bCs/>
              </w:rPr>
              <w:t>Слет ак</w:t>
            </w:r>
            <w:r>
              <w:rPr>
                <w:b/>
                <w:bCs/>
              </w:rPr>
              <w:t>тивистов ТОС  Пинежского района.</w:t>
            </w:r>
          </w:p>
          <w:p w:rsidR="00622548" w:rsidRPr="00BA19C1" w:rsidRDefault="00622548" w:rsidP="00622548">
            <w:pPr>
              <w:jc w:val="both"/>
              <w:rPr>
                <w:b/>
                <w:bCs/>
              </w:rPr>
            </w:pPr>
            <w:r w:rsidRPr="00BA19C1">
              <w:rPr>
                <w:bCs/>
              </w:rPr>
              <w:t xml:space="preserve">Средства были направлены на организацию и проведение ежегодного мероприятия с целью популяризации </w:t>
            </w:r>
            <w:proofErr w:type="spellStart"/>
            <w:r w:rsidRPr="00BA19C1">
              <w:rPr>
                <w:bCs/>
              </w:rPr>
              <w:t>ТОСовского</w:t>
            </w:r>
            <w:proofErr w:type="spellEnd"/>
            <w:r w:rsidRPr="00BA19C1">
              <w:rPr>
                <w:bCs/>
              </w:rPr>
              <w:t xml:space="preserve"> движения, обмена опытом,  презентации достижений и обучения активистов ТОС и СО НКО, </w:t>
            </w:r>
            <w:proofErr w:type="gramStart"/>
            <w:r w:rsidRPr="00BA19C1">
              <w:rPr>
                <w:bCs/>
              </w:rPr>
              <w:t>который</w:t>
            </w:r>
            <w:proofErr w:type="gramEnd"/>
            <w:r w:rsidRPr="00BA19C1">
              <w:rPr>
                <w:bCs/>
              </w:rPr>
              <w:t xml:space="preserve"> проходил на территории МО "Сурского"</w:t>
            </w:r>
            <w:r w:rsidR="00854F6F" w:rsidRPr="00854F6F">
              <w:rPr>
                <w:bCs/>
              </w:rPr>
              <w:t>16-17 августа 2019 года</w:t>
            </w:r>
            <w:r w:rsidRPr="00BA19C1">
              <w:rPr>
                <w:bCs/>
              </w:rPr>
              <w:t xml:space="preserve">. </w:t>
            </w:r>
            <w:r w:rsidR="00854F6F" w:rsidRPr="00854F6F">
              <w:rPr>
                <w:bCs/>
              </w:rPr>
              <w:t xml:space="preserve">В Слёте приняло участие более 35 человек. </w:t>
            </w:r>
            <w:r w:rsidRPr="00BA19C1">
              <w:rPr>
                <w:b/>
                <w:bCs/>
              </w:rPr>
              <w:t xml:space="preserve"> </w:t>
            </w:r>
          </w:p>
          <w:p w:rsidR="005957EE" w:rsidRPr="005957EE" w:rsidRDefault="005957EE" w:rsidP="00854F6F">
            <w:pPr>
              <w:jc w:val="both"/>
            </w:pPr>
          </w:p>
        </w:tc>
      </w:tr>
      <w:tr w:rsidR="009972C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C3" w:rsidRDefault="009972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 Сведения 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C3" w:rsidRPr="006A20ED" w:rsidRDefault="009972C3" w:rsidP="002C3B2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6A20ED">
              <w:t>В рамках</w:t>
            </w:r>
            <w:r w:rsidR="007D7C82" w:rsidRPr="006A20ED">
              <w:t xml:space="preserve"> государственной программы</w:t>
            </w:r>
            <w:r w:rsidR="006A20ED" w:rsidRPr="006A20ED">
              <w:t xml:space="preserve"> Архангельской области </w:t>
            </w:r>
            <w:r w:rsidR="002C3B27">
              <w:rPr>
                <w:rFonts w:cs="Calibri"/>
              </w:rPr>
              <w:t xml:space="preserve">"Развитие местного самоуправления в Архангельской области и государственная поддержка социально ориентированных некоммерческих организаций (2014 - 2020 годы)" </w:t>
            </w:r>
            <w:r w:rsidR="007D7C82" w:rsidRPr="006A20ED">
              <w:t>заключен</w:t>
            </w:r>
            <w:r w:rsidR="006A20ED" w:rsidRPr="006A20ED">
              <w:t>ы</w:t>
            </w:r>
            <w:r w:rsidR="002C3B27">
              <w:t xml:space="preserve"> соглашения</w:t>
            </w:r>
            <w:r w:rsidR="007D7C82" w:rsidRPr="006A20ED">
              <w:t xml:space="preserve"> между </w:t>
            </w:r>
            <w:r w:rsidR="002C3B27">
              <w:t xml:space="preserve">Администрацией </w:t>
            </w:r>
            <w:r w:rsidR="007D7C82" w:rsidRPr="006A20ED">
              <w:t>муниципальн</w:t>
            </w:r>
            <w:r w:rsidR="002C3B27">
              <w:t>ого образования «Пинежский муници</w:t>
            </w:r>
            <w:r w:rsidR="007D7C82" w:rsidRPr="006A20ED">
              <w:t>пальный район»</w:t>
            </w:r>
            <w:r w:rsidR="002C3B27">
              <w:t xml:space="preserve"> и </w:t>
            </w:r>
            <w:r w:rsidR="00D15018" w:rsidRPr="00F72A3E">
              <w:t>Администраци</w:t>
            </w:r>
            <w:r w:rsidR="00D15018">
              <w:t>ей</w:t>
            </w:r>
            <w:r w:rsidR="00D15018" w:rsidRPr="00F72A3E">
              <w:t xml:space="preserve"> Губернатора Архангельской области и Правительства Архангельской области</w:t>
            </w:r>
            <w:r w:rsidR="007D7C82" w:rsidRPr="006A20ED">
              <w:t xml:space="preserve"> </w:t>
            </w:r>
            <w:r w:rsidR="002C3B27">
              <w:t>о предоставлении субсидии на поддержку территориального общественного самоуправления</w:t>
            </w:r>
            <w:r w:rsidR="006A20ED">
              <w:t xml:space="preserve"> №</w:t>
            </w:r>
            <w:r w:rsidR="002C3B27">
              <w:t xml:space="preserve"> </w:t>
            </w:r>
            <w:r w:rsidR="00883412">
              <w:t>02-23/82</w:t>
            </w:r>
            <w:r w:rsidR="00E00384">
              <w:t xml:space="preserve"> от </w:t>
            </w:r>
            <w:r w:rsidR="00883412">
              <w:t>21</w:t>
            </w:r>
            <w:r w:rsidR="00D15018">
              <w:t xml:space="preserve"> </w:t>
            </w:r>
            <w:r w:rsidR="00883412">
              <w:t>ма</w:t>
            </w:r>
            <w:r w:rsidR="00E87E41">
              <w:t>я</w:t>
            </w:r>
            <w:r w:rsidR="006A20ED">
              <w:t xml:space="preserve">  201</w:t>
            </w:r>
            <w:r w:rsidR="00883412">
              <w:t>9</w:t>
            </w:r>
            <w:r w:rsidR="006A20ED">
              <w:t xml:space="preserve"> года</w:t>
            </w:r>
            <w:r w:rsidR="006A20ED" w:rsidRPr="006A20ED">
              <w:t xml:space="preserve"> и </w:t>
            </w:r>
            <w:r w:rsidR="00E87E41">
              <w:t xml:space="preserve">о </w:t>
            </w:r>
            <w:r w:rsidR="00E87E41" w:rsidRPr="00E87E41">
              <w:t xml:space="preserve"> предоставлении субсидии из</w:t>
            </w:r>
            <w:proofErr w:type="gramEnd"/>
            <w:r w:rsidR="00E87E41" w:rsidRPr="00E87E41">
              <w:t xml:space="preserve"> областного бюджета местному бюджету муниципального образования «Пинежский муниципальный район» на реализацию муниципальной программы, предусматривающей поддержку социально ориентированных некоммерческих организаций</w:t>
            </w:r>
            <w:r w:rsidR="00E87E41">
              <w:t xml:space="preserve"> </w:t>
            </w:r>
            <w:r w:rsidR="006A20ED" w:rsidRPr="006A20ED">
              <w:t xml:space="preserve">№ </w:t>
            </w:r>
            <w:r w:rsidR="00883412">
              <w:rPr>
                <w:color w:val="000000"/>
                <w:shd w:val="clear" w:color="auto" w:fill="FFFFFF"/>
              </w:rPr>
              <w:t>02-23/204</w:t>
            </w:r>
            <w:r w:rsidR="00D15018" w:rsidRPr="006A20ED">
              <w:t xml:space="preserve"> </w:t>
            </w:r>
            <w:r w:rsidR="006A20ED" w:rsidRPr="006A20ED">
              <w:t xml:space="preserve">от </w:t>
            </w:r>
            <w:r w:rsidR="00883412">
              <w:t>04</w:t>
            </w:r>
            <w:r w:rsidR="006A20ED" w:rsidRPr="006A20ED">
              <w:t xml:space="preserve"> </w:t>
            </w:r>
            <w:r w:rsidR="00883412">
              <w:t>сентябр</w:t>
            </w:r>
            <w:r w:rsidR="00E87E41">
              <w:t>я 201</w:t>
            </w:r>
            <w:r w:rsidR="00883412">
              <w:t>9</w:t>
            </w:r>
            <w:r w:rsidR="006A20ED" w:rsidRPr="006A20ED">
              <w:t xml:space="preserve"> года</w:t>
            </w:r>
            <w:r w:rsidR="002C3B27">
              <w:t>.</w:t>
            </w:r>
            <w:r w:rsidR="006A20ED" w:rsidRPr="006A20ED">
              <w:t xml:space="preserve"> </w:t>
            </w:r>
          </w:p>
          <w:p w:rsidR="009972C3" w:rsidRPr="006A20ED" w:rsidRDefault="009972C3">
            <w:pPr>
              <w:ind w:firstLine="612"/>
              <w:jc w:val="both"/>
            </w:pPr>
          </w:p>
        </w:tc>
      </w:tr>
      <w:tr w:rsidR="009972C3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C3" w:rsidRDefault="009972C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Сведения 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ACB" w:rsidRPr="006A20ED" w:rsidRDefault="007E2ACB" w:rsidP="007E2ACB">
            <w:pPr>
              <w:jc w:val="both"/>
            </w:pPr>
            <w:r w:rsidRPr="006A20ED">
              <w:t>На реализа</w:t>
            </w:r>
            <w:r>
              <w:t>цию мероприятий Программы в 2019</w:t>
            </w:r>
            <w:r w:rsidRPr="006A20ED">
              <w:t xml:space="preserve"> году направлены средства в объеме </w:t>
            </w:r>
            <w:r>
              <w:t>2821,6</w:t>
            </w:r>
            <w:r w:rsidRPr="00272643">
              <w:t xml:space="preserve"> тыс.</w:t>
            </w:r>
            <w:r>
              <w:t xml:space="preserve"> </w:t>
            </w:r>
            <w:r w:rsidRPr="006A20ED">
              <w:t>рублей, в том числе:</w:t>
            </w:r>
          </w:p>
          <w:p w:rsidR="007E2ACB" w:rsidRPr="006A20ED" w:rsidRDefault="007E2ACB" w:rsidP="007E2ACB">
            <w:pPr>
              <w:jc w:val="both"/>
            </w:pPr>
            <w:r w:rsidRPr="006A20ED">
              <w:t>из федерального бюджета – 0,0 тыс. рублей;</w:t>
            </w:r>
          </w:p>
          <w:p w:rsidR="007E2ACB" w:rsidRPr="006A20ED" w:rsidRDefault="007E2ACB" w:rsidP="007E2ACB">
            <w:pPr>
              <w:jc w:val="both"/>
            </w:pPr>
            <w:r w:rsidRPr="006A20ED">
              <w:t xml:space="preserve">из областного бюджета </w:t>
            </w:r>
            <w:r>
              <w:t>–</w:t>
            </w:r>
            <w:r w:rsidRPr="006A20ED">
              <w:t xml:space="preserve"> </w:t>
            </w:r>
            <w:r>
              <w:t xml:space="preserve">   </w:t>
            </w:r>
            <w:r w:rsidRPr="006A20ED">
              <w:t xml:space="preserve"> </w:t>
            </w:r>
            <w:r>
              <w:t>1396,6</w:t>
            </w:r>
            <w:r w:rsidRPr="00272643">
              <w:t xml:space="preserve"> тыс</w:t>
            </w:r>
            <w:r w:rsidRPr="006A20ED">
              <w:t>.</w:t>
            </w:r>
            <w:r>
              <w:t xml:space="preserve"> </w:t>
            </w:r>
            <w:r w:rsidRPr="006A20ED">
              <w:t>рублей;</w:t>
            </w:r>
          </w:p>
          <w:p w:rsidR="007E2ACB" w:rsidRPr="006A20ED" w:rsidRDefault="007E2ACB" w:rsidP="007E2ACB">
            <w:pPr>
              <w:jc w:val="both"/>
            </w:pPr>
            <w:r w:rsidRPr="006A20ED">
              <w:t xml:space="preserve">из районного бюджета – </w:t>
            </w:r>
            <w:r>
              <w:t xml:space="preserve">     1425,0</w:t>
            </w:r>
            <w:r w:rsidRPr="00272643">
              <w:t xml:space="preserve"> тыс</w:t>
            </w:r>
            <w:r w:rsidRPr="006A20ED">
              <w:t>. рублей;</w:t>
            </w:r>
          </w:p>
          <w:p w:rsidR="007E2ACB" w:rsidRPr="006A20ED" w:rsidRDefault="007E2ACB" w:rsidP="007E2ACB">
            <w:pPr>
              <w:jc w:val="both"/>
            </w:pPr>
            <w:r w:rsidRPr="006A20ED">
              <w:t>из бюджета поселения</w:t>
            </w:r>
            <w:r>
              <w:t xml:space="preserve"> </w:t>
            </w:r>
            <w:r w:rsidRPr="006A20ED">
              <w:t>- 0,0 тыс.</w:t>
            </w:r>
            <w:r>
              <w:t xml:space="preserve"> </w:t>
            </w:r>
            <w:r w:rsidRPr="006A20ED">
              <w:t>рублей;</w:t>
            </w:r>
          </w:p>
          <w:p w:rsidR="009972C3" w:rsidRPr="006A20ED" w:rsidRDefault="007E2ACB" w:rsidP="007E2ACB">
            <w:pPr>
              <w:jc w:val="both"/>
            </w:pPr>
            <w:r w:rsidRPr="006A20ED">
              <w:t>из внебюджетных источников</w:t>
            </w:r>
            <w:r>
              <w:t xml:space="preserve"> </w:t>
            </w:r>
            <w:r w:rsidRPr="006A20ED">
              <w:t>- 0,0 тыс.</w:t>
            </w:r>
            <w:r>
              <w:t xml:space="preserve"> </w:t>
            </w:r>
            <w:r w:rsidRPr="006A20ED">
              <w:t>рублей.</w:t>
            </w:r>
          </w:p>
        </w:tc>
      </w:tr>
    </w:tbl>
    <w:p w:rsidR="009972C3" w:rsidRDefault="009972C3" w:rsidP="009972C3">
      <w:pPr>
        <w:rPr>
          <w:sz w:val="28"/>
          <w:szCs w:val="28"/>
        </w:rPr>
      </w:pPr>
    </w:p>
    <w:p w:rsidR="009972C3" w:rsidRDefault="009972C3" w:rsidP="009972C3">
      <w:pPr>
        <w:rPr>
          <w:sz w:val="28"/>
          <w:szCs w:val="28"/>
        </w:rPr>
      </w:pPr>
    </w:p>
    <w:p w:rsidR="009972C3" w:rsidRDefault="009972C3"/>
    <w:p w:rsidR="00047421" w:rsidRDefault="00047421"/>
    <w:p w:rsidR="00047421" w:rsidRDefault="00047421"/>
    <w:p w:rsidR="00047421" w:rsidRDefault="00047421"/>
    <w:p w:rsidR="00047421" w:rsidRDefault="00047421"/>
    <w:p w:rsidR="00047421" w:rsidRDefault="00047421"/>
    <w:p w:rsidR="00047421" w:rsidRDefault="00047421"/>
    <w:p w:rsidR="00047421" w:rsidRDefault="00047421"/>
    <w:p w:rsidR="00047421" w:rsidRDefault="00047421"/>
    <w:tbl>
      <w:tblPr>
        <w:tblW w:w="15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1560"/>
        <w:gridCol w:w="708"/>
        <w:gridCol w:w="709"/>
        <w:gridCol w:w="602"/>
        <w:gridCol w:w="660"/>
        <w:gridCol w:w="900"/>
        <w:gridCol w:w="720"/>
        <w:gridCol w:w="900"/>
        <w:gridCol w:w="758"/>
        <w:gridCol w:w="960"/>
        <w:gridCol w:w="672"/>
        <w:gridCol w:w="850"/>
        <w:gridCol w:w="720"/>
        <w:gridCol w:w="900"/>
        <w:gridCol w:w="1080"/>
        <w:gridCol w:w="1080"/>
      </w:tblGrid>
      <w:tr w:rsidR="00260119" w:rsidRPr="00E775DC">
        <w:trPr>
          <w:trHeight w:val="480"/>
          <w:tblCellSpacing w:w="5" w:type="nil"/>
        </w:trPr>
        <w:tc>
          <w:tcPr>
            <w:tcW w:w="14400" w:type="dxa"/>
            <w:gridSpan w:val="16"/>
          </w:tcPr>
          <w:p w:rsidR="00260119" w:rsidRPr="00E775DC" w:rsidRDefault="00260119" w:rsidP="00260119">
            <w:pPr>
              <w:jc w:val="center"/>
              <w:rPr>
                <w:b/>
                <w:sz w:val="20"/>
                <w:szCs w:val="20"/>
              </w:rPr>
            </w:pPr>
            <w:r w:rsidRPr="00E775DC">
              <w:rPr>
                <w:b/>
                <w:sz w:val="20"/>
                <w:szCs w:val="20"/>
              </w:rPr>
              <w:t xml:space="preserve">Отчет </w:t>
            </w:r>
          </w:p>
          <w:p w:rsidR="00260119" w:rsidRPr="00E775DC" w:rsidRDefault="00260119" w:rsidP="00260119">
            <w:pPr>
              <w:jc w:val="center"/>
              <w:rPr>
                <w:b/>
                <w:sz w:val="20"/>
                <w:szCs w:val="20"/>
              </w:rPr>
            </w:pPr>
            <w:r w:rsidRPr="00E775DC">
              <w:rPr>
                <w:b/>
                <w:sz w:val="20"/>
                <w:szCs w:val="20"/>
              </w:rPr>
              <w:t>об исполнении мероприятий муниципальной программы «Развитие  и поддержка территориального общественного самоуправления и социально ориентированных некоммерческих организаций в Пинежском районе на 201</w:t>
            </w:r>
            <w:r>
              <w:rPr>
                <w:b/>
                <w:sz w:val="20"/>
                <w:szCs w:val="20"/>
              </w:rPr>
              <w:t>7</w:t>
            </w:r>
            <w:r w:rsidRPr="00E775DC">
              <w:rPr>
                <w:b/>
                <w:sz w:val="20"/>
                <w:szCs w:val="20"/>
              </w:rPr>
              <w:t>-20</w:t>
            </w:r>
            <w:r>
              <w:rPr>
                <w:b/>
                <w:sz w:val="20"/>
                <w:szCs w:val="20"/>
              </w:rPr>
              <w:t>20</w:t>
            </w:r>
            <w:r w:rsidRPr="00E775DC">
              <w:rPr>
                <w:b/>
                <w:sz w:val="20"/>
                <w:szCs w:val="20"/>
              </w:rPr>
              <w:t xml:space="preserve"> годы»</w:t>
            </w:r>
          </w:p>
          <w:p w:rsidR="00260119" w:rsidRPr="00E775DC" w:rsidRDefault="00260119" w:rsidP="00260119">
            <w:pPr>
              <w:jc w:val="center"/>
              <w:rPr>
                <w:b/>
                <w:sz w:val="20"/>
                <w:szCs w:val="20"/>
              </w:rPr>
            </w:pPr>
            <w:r w:rsidRPr="00E775DC">
              <w:rPr>
                <w:b/>
                <w:sz w:val="20"/>
                <w:szCs w:val="20"/>
              </w:rPr>
              <w:t>за 201</w:t>
            </w:r>
            <w:r w:rsidR="00FF1E32">
              <w:rPr>
                <w:b/>
                <w:sz w:val="20"/>
                <w:szCs w:val="20"/>
              </w:rPr>
              <w:t>9</w:t>
            </w:r>
            <w:r w:rsidRPr="00E775D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260119" w:rsidRPr="00E775DC" w:rsidRDefault="00260119" w:rsidP="00260119">
            <w:pPr>
              <w:rPr>
                <w:sz w:val="20"/>
                <w:szCs w:val="20"/>
              </w:rPr>
            </w:pPr>
          </w:p>
        </w:tc>
      </w:tr>
      <w:tr w:rsidR="00260119" w:rsidRPr="00E775DC" w:rsidTr="00272643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    мероприятий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11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Объем финансирования муниципальной программы                   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60119" w:rsidRPr="00E775DC" w:rsidRDefault="00260119" w:rsidP="00260119">
            <w:pPr>
              <w:rPr>
                <w:sz w:val="20"/>
                <w:szCs w:val="20"/>
              </w:rPr>
            </w:pPr>
          </w:p>
          <w:p w:rsidR="00260119" w:rsidRPr="00E775DC" w:rsidRDefault="00FF1E32" w:rsidP="0026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</w:t>
            </w:r>
            <w:r w:rsidR="00260119" w:rsidRPr="00E775DC">
              <w:rPr>
                <w:sz w:val="20"/>
                <w:szCs w:val="20"/>
              </w:rPr>
              <w:t>ны</w:t>
            </w:r>
          </w:p>
          <w:p w:rsidR="00260119" w:rsidRPr="00E775DC" w:rsidRDefault="00FF1E32" w:rsidP="002601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</w:t>
            </w:r>
            <w:r w:rsidR="00260119" w:rsidRPr="00E775DC">
              <w:rPr>
                <w:sz w:val="20"/>
                <w:szCs w:val="20"/>
              </w:rPr>
              <w:t>нения</w:t>
            </w:r>
          </w:p>
        </w:tc>
      </w:tr>
      <w:tr w:rsidR="00260119" w:rsidRPr="00E775DC" w:rsidTr="00272643">
        <w:trPr>
          <w:trHeight w:val="32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    всего       </w:t>
            </w:r>
          </w:p>
        </w:tc>
        <w:tc>
          <w:tcPr>
            <w:tcW w:w="8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в том числе по источникам             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0119" w:rsidRPr="00E775DC" w:rsidRDefault="00260119" w:rsidP="00260119">
            <w:pPr>
              <w:rPr>
                <w:sz w:val="20"/>
                <w:szCs w:val="20"/>
              </w:rPr>
            </w:pPr>
          </w:p>
        </w:tc>
      </w:tr>
      <w:tr w:rsidR="00260119" w:rsidRPr="00E775DC" w:rsidTr="00272643">
        <w:trPr>
          <w:trHeight w:val="96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FF1E32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</w:t>
            </w:r>
            <w:r w:rsidR="00260119"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ный   бюджет    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областной  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    </w:t>
            </w:r>
          </w:p>
        </w:tc>
        <w:tc>
          <w:tcPr>
            <w:tcW w:w="17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260119" w:rsidRPr="00E775DC" w:rsidRDefault="00260119" w:rsidP="0026011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FF1E32" w:rsidP="00260119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 муниципаль</w:t>
            </w:r>
            <w:r w:rsidR="00260119" w:rsidRPr="00E775DC">
              <w:rPr>
                <w:rFonts w:ascii="Times New Roman" w:hAnsi="Times New Roman" w:cs="Times New Roman"/>
                <w:sz w:val="20"/>
                <w:szCs w:val="20"/>
              </w:rPr>
              <w:t>ных образований сельских поселений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FF1E32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Внебюджет</w:t>
            </w:r>
            <w:r w:rsidR="00260119"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ные   источники 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0119" w:rsidRPr="00E775DC" w:rsidRDefault="00260119" w:rsidP="00260119">
            <w:pPr>
              <w:rPr>
                <w:sz w:val="20"/>
                <w:szCs w:val="20"/>
              </w:rPr>
            </w:pPr>
          </w:p>
        </w:tc>
      </w:tr>
      <w:tr w:rsidR="00260119" w:rsidRPr="00E775DC" w:rsidTr="00272643">
        <w:trPr>
          <w:trHeight w:val="1440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%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FF1E32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рас</w:t>
            </w:r>
            <w:r w:rsidR="00260119"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ходы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FF1E32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касссовые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расхо</w:t>
            </w:r>
            <w:r w:rsidR="00260119"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ды 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FF1E32" w:rsidP="00FF1E3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</w:t>
            </w:r>
            <w:r w:rsidR="00260119" w:rsidRPr="00E775DC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  <w:r w:rsidR="00260119"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E775D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FF1E32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рас</w:t>
            </w:r>
            <w:r w:rsidR="00260119" w:rsidRPr="00E775DC">
              <w:rPr>
                <w:rFonts w:ascii="Times New Roman" w:hAnsi="Times New Roman" w:cs="Times New Roman"/>
                <w:sz w:val="20"/>
                <w:szCs w:val="20"/>
              </w:rPr>
              <w:t>ходы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19" w:rsidRPr="00E775DC" w:rsidRDefault="00260119" w:rsidP="00260119">
            <w:pPr>
              <w:rPr>
                <w:sz w:val="20"/>
                <w:szCs w:val="20"/>
              </w:rPr>
            </w:pPr>
          </w:p>
        </w:tc>
      </w:tr>
      <w:tr w:rsidR="00260119" w:rsidRPr="00E775DC" w:rsidTr="00272643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     1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3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 7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8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 9    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10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 11   </w:t>
            </w: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12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 13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19" w:rsidRPr="00E775DC" w:rsidRDefault="00260119" w:rsidP="002601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775DC">
              <w:rPr>
                <w:rFonts w:ascii="Times New Roman" w:hAnsi="Times New Roman" w:cs="Times New Roman"/>
                <w:sz w:val="20"/>
                <w:szCs w:val="20"/>
              </w:rPr>
              <w:t xml:space="preserve">  16   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119" w:rsidRPr="00E775DC" w:rsidRDefault="00260119" w:rsidP="00260119">
            <w:pPr>
              <w:jc w:val="center"/>
              <w:rPr>
                <w:sz w:val="20"/>
                <w:szCs w:val="20"/>
              </w:rPr>
            </w:pPr>
            <w:r w:rsidRPr="00E775DC">
              <w:rPr>
                <w:sz w:val="20"/>
                <w:szCs w:val="20"/>
              </w:rPr>
              <w:t>17</w:t>
            </w:r>
          </w:p>
        </w:tc>
      </w:tr>
      <w:tr w:rsidR="00272643" w:rsidRPr="00E775DC" w:rsidTr="00272643">
        <w:trPr>
          <w:trHeight w:val="480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Предоставление субсидий по результатам ежегодного конкурса проектов развития территориального общественного самоуправления в муниципальном образовании "Пинежский муниципальный район"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Отдел по культуре и туризму Администрации МО "Пинежский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2490,1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1140,1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2490,1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2643" w:rsidRPr="00E775DC" w:rsidTr="00272643">
        <w:trPr>
          <w:trHeight w:val="699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2.1. Предоставление субсидий на реализацию целевых  социальных проектов социально ориентированным некоммерческим организациям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Отдел по культуре и туризму Администрации МО "Пинежский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266,5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2643" w:rsidRPr="00E775DC" w:rsidTr="00272643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 w:rsidP="00B16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4.2. Участие в межрайонных и межрегиональных мероприятиях в сфере развития гражданского общества.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Отдел по культуре и туризму Администрации МО "Пинежский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B16F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B16FB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  <w:r w:rsidR="0027264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2643" w:rsidRPr="00E775DC" w:rsidTr="00272643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5.1. Слет активистов ТОС  Пинежского района.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Отдел по культуре и туризму Администрации МО "Пинежский район"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B16F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B16FBA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272643" w:rsidRPr="00E775DC" w:rsidTr="00272643">
        <w:trPr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2821,6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1396,6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1425,0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643" w:rsidRDefault="0027264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2821,6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643" w:rsidRDefault="0027264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47421" w:rsidRDefault="00047421" w:rsidP="00047421"/>
    <w:p w:rsidR="00047421" w:rsidRDefault="00047421" w:rsidP="00047421">
      <w:pPr>
        <w:tabs>
          <w:tab w:val="left" w:pos="1620"/>
        </w:tabs>
        <w:ind w:firstLine="180"/>
        <w:jc w:val="center"/>
        <w:rPr>
          <w:b/>
        </w:rPr>
      </w:pPr>
    </w:p>
    <w:p w:rsidR="00047421" w:rsidRDefault="00047421" w:rsidP="00047421">
      <w:pPr>
        <w:tabs>
          <w:tab w:val="left" w:pos="1620"/>
        </w:tabs>
        <w:ind w:firstLine="180"/>
        <w:jc w:val="center"/>
        <w:rPr>
          <w:b/>
        </w:rPr>
      </w:pPr>
    </w:p>
    <w:p w:rsidR="00047421" w:rsidRDefault="00047421" w:rsidP="00047421">
      <w:pPr>
        <w:tabs>
          <w:tab w:val="left" w:pos="1620"/>
        </w:tabs>
        <w:ind w:firstLine="180"/>
        <w:jc w:val="center"/>
        <w:rPr>
          <w:b/>
        </w:rPr>
      </w:pPr>
    </w:p>
    <w:p w:rsidR="00047421" w:rsidRDefault="00047421" w:rsidP="00047421">
      <w:pPr>
        <w:tabs>
          <w:tab w:val="left" w:pos="1620"/>
        </w:tabs>
        <w:ind w:firstLine="180"/>
        <w:jc w:val="center"/>
        <w:rPr>
          <w:b/>
        </w:rPr>
      </w:pPr>
    </w:p>
    <w:p w:rsidR="00047421" w:rsidRDefault="00047421" w:rsidP="00047421">
      <w:pPr>
        <w:tabs>
          <w:tab w:val="left" w:pos="1620"/>
        </w:tabs>
        <w:ind w:firstLine="180"/>
        <w:jc w:val="center"/>
        <w:rPr>
          <w:b/>
        </w:rPr>
      </w:pPr>
    </w:p>
    <w:p w:rsidR="00047421" w:rsidRDefault="00047421" w:rsidP="00047421">
      <w:pPr>
        <w:tabs>
          <w:tab w:val="left" w:pos="1620"/>
        </w:tabs>
        <w:ind w:firstLine="180"/>
        <w:jc w:val="center"/>
        <w:rPr>
          <w:b/>
        </w:rPr>
      </w:pPr>
    </w:p>
    <w:p w:rsidR="00047421" w:rsidRDefault="00047421" w:rsidP="00047421">
      <w:pPr>
        <w:tabs>
          <w:tab w:val="left" w:pos="1620"/>
        </w:tabs>
        <w:ind w:firstLine="180"/>
        <w:jc w:val="center"/>
        <w:rPr>
          <w:b/>
        </w:rPr>
      </w:pPr>
    </w:p>
    <w:p w:rsidR="00047421" w:rsidRDefault="00047421" w:rsidP="00047421">
      <w:pPr>
        <w:tabs>
          <w:tab w:val="left" w:pos="1620"/>
        </w:tabs>
        <w:ind w:firstLine="180"/>
        <w:jc w:val="center"/>
        <w:rPr>
          <w:b/>
        </w:rPr>
      </w:pPr>
    </w:p>
    <w:p w:rsidR="00FF1E32" w:rsidRDefault="00FF1E32" w:rsidP="00047421">
      <w:pPr>
        <w:tabs>
          <w:tab w:val="left" w:pos="1620"/>
        </w:tabs>
        <w:ind w:firstLine="180"/>
        <w:jc w:val="center"/>
        <w:rPr>
          <w:b/>
        </w:rPr>
      </w:pPr>
    </w:p>
    <w:p w:rsidR="009744F3" w:rsidRDefault="009744F3" w:rsidP="00047421">
      <w:pPr>
        <w:tabs>
          <w:tab w:val="left" w:pos="1620"/>
        </w:tabs>
        <w:ind w:firstLine="180"/>
        <w:jc w:val="center"/>
        <w:rPr>
          <w:b/>
        </w:rPr>
      </w:pPr>
    </w:p>
    <w:p w:rsidR="009744F3" w:rsidRDefault="009744F3" w:rsidP="00047421">
      <w:pPr>
        <w:tabs>
          <w:tab w:val="left" w:pos="1620"/>
        </w:tabs>
        <w:ind w:firstLine="180"/>
        <w:jc w:val="center"/>
        <w:rPr>
          <w:b/>
        </w:rPr>
      </w:pPr>
    </w:p>
    <w:p w:rsidR="009744F3" w:rsidRDefault="009744F3" w:rsidP="00047421">
      <w:pPr>
        <w:tabs>
          <w:tab w:val="left" w:pos="1620"/>
        </w:tabs>
        <w:ind w:firstLine="180"/>
        <w:jc w:val="center"/>
        <w:rPr>
          <w:b/>
        </w:rPr>
      </w:pPr>
    </w:p>
    <w:p w:rsidR="009744F3" w:rsidRDefault="009744F3" w:rsidP="00047421">
      <w:pPr>
        <w:tabs>
          <w:tab w:val="left" w:pos="1620"/>
        </w:tabs>
        <w:ind w:firstLine="180"/>
        <w:jc w:val="center"/>
        <w:rPr>
          <w:b/>
        </w:rPr>
      </w:pPr>
    </w:p>
    <w:p w:rsidR="00260119" w:rsidRPr="00AD614A" w:rsidRDefault="00260119" w:rsidP="00A72747">
      <w:pPr>
        <w:tabs>
          <w:tab w:val="left" w:pos="1620"/>
        </w:tabs>
        <w:jc w:val="center"/>
        <w:rPr>
          <w:b/>
        </w:rPr>
      </w:pPr>
      <w:r w:rsidRPr="00AD614A">
        <w:rPr>
          <w:b/>
        </w:rPr>
        <w:t>ОТЧЕТ</w:t>
      </w:r>
    </w:p>
    <w:p w:rsidR="00260119" w:rsidRPr="00AD614A" w:rsidRDefault="00260119" w:rsidP="00260119">
      <w:pPr>
        <w:jc w:val="center"/>
        <w:rPr>
          <w:b/>
        </w:rPr>
      </w:pPr>
      <w:r>
        <w:rPr>
          <w:b/>
        </w:rPr>
        <w:t>о</w:t>
      </w:r>
      <w:r w:rsidRPr="00AD614A">
        <w:rPr>
          <w:b/>
        </w:rPr>
        <w:t>б исполнении целевых показателей муниципальной программы</w:t>
      </w:r>
    </w:p>
    <w:p w:rsidR="00260119" w:rsidRDefault="00260119" w:rsidP="00260119">
      <w:pPr>
        <w:jc w:val="center"/>
        <w:rPr>
          <w:b/>
        </w:rPr>
      </w:pPr>
      <w:r w:rsidRPr="00AD614A">
        <w:rPr>
          <w:b/>
        </w:rPr>
        <w:t xml:space="preserve">«Развитие и поддержка территориального общественного самоуправления и социально </w:t>
      </w:r>
      <w:proofErr w:type="gramStart"/>
      <w:r w:rsidRPr="00AD614A">
        <w:rPr>
          <w:b/>
        </w:rPr>
        <w:t>ориентированных</w:t>
      </w:r>
      <w:proofErr w:type="gramEnd"/>
      <w:r w:rsidRPr="00AD614A">
        <w:rPr>
          <w:b/>
        </w:rPr>
        <w:t xml:space="preserve"> </w:t>
      </w:r>
    </w:p>
    <w:p w:rsidR="00260119" w:rsidRPr="00AD614A" w:rsidRDefault="00260119" w:rsidP="00260119">
      <w:pPr>
        <w:jc w:val="center"/>
        <w:rPr>
          <w:b/>
        </w:rPr>
      </w:pPr>
      <w:r w:rsidRPr="00AD614A">
        <w:rPr>
          <w:b/>
        </w:rPr>
        <w:t>некоммерческих организаций в Пинежском районе на 201</w:t>
      </w:r>
      <w:r>
        <w:rPr>
          <w:b/>
        </w:rPr>
        <w:t>7-2020</w:t>
      </w:r>
      <w:r w:rsidRPr="00AD614A">
        <w:rPr>
          <w:b/>
        </w:rPr>
        <w:t xml:space="preserve"> г</w:t>
      </w:r>
      <w:r>
        <w:rPr>
          <w:b/>
        </w:rPr>
        <w:t>оды</w:t>
      </w:r>
      <w:r w:rsidRPr="00AD614A">
        <w:rPr>
          <w:b/>
        </w:rPr>
        <w:t>»</w:t>
      </w:r>
    </w:p>
    <w:p w:rsidR="00260119" w:rsidRPr="00AD614A" w:rsidRDefault="00260119" w:rsidP="00260119">
      <w:pPr>
        <w:rPr>
          <w:b/>
        </w:rPr>
      </w:pPr>
      <w:r w:rsidRPr="00AD614A">
        <w:rPr>
          <w:b/>
        </w:rPr>
        <w:t xml:space="preserve">                                                                                                                     </w:t>
      </w:r>
      <w:r>
        <w:rPr>
          <w:b/>
        </w:rPr>
        <w:t>з</w:t>
      </w:r>
      <w:r w:rsidRPr="00AD614A">
        <w:rPr>
          <w:b/>
        </w:rPr>
        <w:t>а 201</w:t>
      </w:r>
      <w:r w:rsidR="00264CBA" w:rsidRPr="00FF1E32">
        <w:rPr>
          <w:b/>
        </w:rPr>
        <w:t>9</w:t>
      </w:r>
      <w:r w:rsidRPr="00AD614A">
        <w:rPr>
          <w:b/>
        </w:rPr>
        <w:t xml:space="preserve"> год</w:t>
      </w:r>
    </w:p>
    <w:p w:rsidR="00260119" w:rsidRDefault="00260119" w:rsidP="00260119">
      <w:r>
        <w:t>Ответственный исполнитель: Отдел по культуре и туризму Администрации МО «Пинежский район»</w:t>
      </w:r>
    </w:p>
    <w:p w:rsidR="00260119" w:rsidRDefault="00260119" w:rsidP="00260119"/>
    <w:p w:rsidR="00260119" w:rsidRDefault="00260119" w:rsidP="00260119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  <w:gridCol w:w="1292"/>
        <w:gridCol w:w="856"/>
        <w:gridCol w:w="773"/>
        <w:gridCol w:w="1497"/>
        <w:gridCol w:w="1774"/>
        <w:gridCol w:w="4552"/>
      </w:tblGrid>
      <w:tr w:rsidR="00260119" w:rsidTr="00043A9F">
        <w:tc>
          <w:tcPr>
            <w:tcW w:w="4248" w:type="dxa"/>
            <w:vMerge w:val="restart"/>
          </w:tcPr>
          <w:p w:rsidR="00260119" w:rsidRDefault="00260119" w:rsidP="00260119">
            <w:r>
              <w:t>Наименование целевого показателя</w:t>
            </w:r>
          </w:p>
        </w:tc>
        <w:tc>
          <w:tcPr>
            <w:tcW w:w="1292" w:type="dxa"/>
            <w:vMerge w:val="restart"/>
          </w:tcPr>
          <w:p w:rsidR="00260119" w:rsidRDefault="00260119" w:rsidP="00260119">
            <w:pPr>
              <w:jc w:val="center"/>
            </w:pPr>
            <w:r>
              <w:t>Единица измерения</w:t>
            </w:r>
          </w:p>
        </w:tc>
        <w:tc>
          <w:tcPr>
            <w:tcW w:w="1629" w:type="dxa"/>
            <w:gridSpan w:val="2"/>
          </w:tcPr>
          <w:p w:rsidR="00260119" w:rsidRDefault="00260119" w:rsidP="00260119">
            <w:pPr>
              <w:jc w:val="center"/>
            </w:pPr>
            <w:r>
              <w:t>Значения целевых показателей</w:t>
            </w:r>
          </w:p>
        </w:tc>
        <w:tc>
          <w:tcPr>
            <w:tcW w:w="1497" w:type="dxa"/>
            <w:vMerge w:val="restart"/>
          </w:tcPr>
          <w:p w:rsidR="00260119" w:rsidRDefault="00260119" w:rsidP="00260119">
            <w:pPr>
              <w:jc w:val="center"/>
            </w:pPr>
            <w:r>
              <w:t>Абсолютное отклонение</w:t>
            </w:r>
          </w:p>
        </w:tc>
        <w:tc>
          <w:tcPr>
            <w:tcW w:w="1774" w:type="dxa"/>
            <w:vMerge w:val="restart"/>
          </w:tcPr>
          <w:p w:rsidR="00260119" w:rsidRDefault="00260119" w:rsidP="00260119">
            <w:pPr>
              <w:jc w:val="center"/>
            </w:pPr>
            <w:r>
              <w:t>Относительное отклонение,</w:t>
            </w:r>
          </w:p>
          <w:p w:rsidR="00260119" w:rsidRDefault="00260119" w:rsidP="00260119">
            <w:pPr>
              <w:jc w:val="center"/>
            </w:pPr>
            <w:r>
              <w:t>в %</w:t>
            </w:r>
          </w:p>
        </w:tc>
        <w:tc>
          <w:tcPr>
            <w:tcW w:w="4552" w:type="dxa"/>
            <w:vMerge w:val="restart"/>
          </w:tcPr>
          <w:p w:rsidR="00260119" w:rsidRDefault="00260119" w:rsidP="00264CBA">
            <w:pPr>
              <w:jc w:val="center"/>
            </w:pPr>
            <w:r>
              <w:t>Обоснование отклонений значений целевого показателя за отчетный период (201</w:t>
            </w:r>
            <w:r w:rsidR="00264CBA" w:rsidRPr="00264CBA">
              <w:t>9</w:t>
            </w:r>
            <w:r>
              <w:t xml:space="preserve"> год)</w:t>
            </w:r>
          </w:p>
        </w:tc>
      </w:tr>
      <w:tr w:rsidR="00260119" w:rsidTr="00043A9F">
        <w:tc>
          <w:tcPr>
            <w:tcW w:w="4248" w:type="dxa"/>
            <w:vMerge/>
          </w:tcPr>
          <w:p w:rsidR="00260119" w:rsidRDefault="00260119" w:rsidP="00260119"/>
        </w:tc>
        <w:tc>
          <w:tcPr>
            <w:tcW w:w="1292" w:type="dxa"/>
            <w:vMerge/>
          </w:tcPr>
          <w:p w:rsidR="00260119" w:rsidRDefault="00260119" w:rsidP="00260119">
            <w:pPr>
              <w:jc w:val="center"/>
            </w:pPr>
          </w:p>
        </w:tc>
        <w:tc>
          <w:tcPr>
            <w:tcW w:w="856" w:type="dxa"/>
          </w:tcPr>
          <w:p w:rsidR="00260119" w:rsidRDefault="00260119" w:rsidP="00260119">
            <w:pPr>
              <w:jc w:val="center"/>
            </w:pPr>
            <w:r>
              <w:t>план на год</w:t>
            </w:r>
          </w:p>
        </w:tc>
        <w:tc>
          <w:tcPr>
            <w:tcW w:w="773" w:type="dxa"/>
          </w:tcPr>
          <w:p w:rsidR="00260119" w:rsidRDefault="00260119" w:rsidP="00260119">
            <w:pPr>
              <w:jc w:val="center"/>
            </w:pPr>
            <w:r>
              <w:t>отчет</w:t>
            </w:r>
          </w:p>
        </w:tc>
        <w:tc>
          <w:tcPr>
            <w:tcW w:w="1497" w:type="dxa"/>
            <w:vMerge/>
          </w:tcPr>
          <w:p w:rsidR="00260119" w:rsidRDefault="00260119" w:rsidP="00260119">
            <w:pPr>
              <w:jc w:val="center"/>
            </w:pPr>
          </w:p>
        </w:tc>
        <w:tc>
          <w:tcPr>
            <w:tcW w:w="1774" w:type="dxa"/>
            <w:vMerge/>
          </w:tcPr>
          <w:p w:rsidR="00260119" w:rsidRDefault="00260119" w:rsidP="00260119">
            <w:pPr>
              <w:jc w:val="center"/>
            </w:pPr>
          </w:p>
        </w:tc>
        <w:tc>
          <w:tcPr>
            <w:tcW w:w="4552" w:type="dxa"/>
            <w:vMerge/>
          </w:tcPr>
          <w:p w:rsidR="00260119" w:rsidRDefault="00260119" w:rsidP="00260119">
            <w:pPr>
              <w:jc w:val="center"/>
            </w:pPr>
          </w:p>
        </w:tc>
      </w:tr>
      <w:tr w:rsidR="00260119" w:rsidTr="00043A9F">
        <w:tc>
          <w:tcPr>
            <w:tcW w:w="4248" w:type="dxa"/>
          </w:tcPr>
          <w:p w:rsidR="00260119" w:rsidRDefault="00260119" w:rsidP="00260119">
            <w:pPr>
              <w:jc w:val="center"/>
            </w:pPr>
            <w:r>
              <w:t>1</w:t>
            </w:r>
          </w:p>
        </w:tc>
        <w:tc>
          <w:tcPr>
            <w:tcW w:w="1292" w:type="dxa"/>
          </w:tcPr>
          <w:p w:rsidR="00260119" w:rsidRDefault="00260119" w:rsidP="00260119">
            <w:pPr>
              <w:jc w:val="center"/>
            </w:pPr>
            <w:r>
              <w:t>2</w:t>
            </w:r>
          </w:p>
        </w:tc>
        <w:tc>
          <w:tcPr>
            <w:tcW w:w="856" w:type="dxa"/>
          </w:tcPr>
          <w:p w:rsidR="00260119" w:rsidRDefault="00260119" w:rsidP="00260119">
            <w:pPr>
              <w:jc w:val="center"/>
            </w:pPr>
            <w:r>
              <w:t>3</w:t>
            </w:r>
          </w:p>
        </w:tc>
        <w:tc>
          <w:tcPr>
            <w:tcW w:w="773" w:type="dxa"/>
          </w:tcPr>
          <w:p w:rsidR="00260119" w:rsidRDefault="00260119" w:rsidP="00260119">
            <w:pPr>
              <w:jc w:val="center"/>
            </w:pPr>
            <w:r>
              <w:t>4</w:t>
            </w:r>
          </w:p>
        </w:tc>
        <w:tc>
          <w:tcPr>
            <w:tcW w:w="1497" w:type="dxa"/>
          </w:tcPr>
          <w:p w:rsidR="00260119" w:rsidRDefault="00260119" w:rsidP="00260119">
            <w:pPr>
              <w:jc w:val="center"/>
            </w:pPr>
            <w:r>
              <w:t>5</w:t>
            </w:r>
          </w:p>
        </w:tc>
        <w:tc>
          <w:tcPr>
            <w:tcW w:w="1774" w:type="dxa"/>
          </w:tcPr>
          <w:p w:rsidR="00260119" w:rsidRDefault="00260119" w:rsidP="00260119">
            <w:pPr>
              <w:jc w:val="center"/>
            </w:pPr>
            <w:r>
              <w:t>6</w:t>
            </w:r>
          </w:p>
        </w:tc>
        <w:tc>
          <w:tcPr>
            <w:tcW w:w="4552" w:type="dxa"/>
          </w:tcPr>
          <w:p w:rsidR="00260119" w:rsidRDefault="00260119" w:rsidP="00260119">
            <w:pPr>
              <w:jc w:val="center"/>
            </w:pPr>
            <w:r>
              <w:t>7</w:t>
            </w:r>
          </w:p>
        </w:tc>
      </w:tr>
      <w:tr w:rsidR="00260119" w:rsidTr="00043A9F">
        <w:tc>
          <w:tcPr>
            <w:tcW w:w="14992" w:type="dxa"/>
            <w:gridSpan w:val="7"/>
          </w:tcPr>
          <w:p w:rsidR="00260119" w:rsidRPr="00E670D2" w:rsidRDefault="00260119" w:rsidP="00260119">
            <w:pPr>
              <w:jc w:val="both"/>
            </w:pPr>
            <w:r>
              <w:t>М</w:t>
            </w:r>
            <w:r w:rsidRPr="00E670D2">
              <w:t>униципальн</w:t>
            </w:r>
            <w:r>
              <w:t>ая</w:t>
            </w:r>
            <w:r w:rsidRPr="00E670D2">
              <w:t xml:space="preserve"> программ</w:t>
            </w:r>
            <w:r>
              <w:t xml:space="preserve">а </w:t>
            </w:r>
            <w:r w:rsidRPr="00E670D2">
              <w:t>«Развитие и поддержка территориального общественного самоуправления и социально ориентированных некоммерческих организаций в Пинежском районе на 2014-2016 годы»</w:t>
            </w:r>
          </w:p>
          <w:p w:rsidR="00260119" w:rsidRDefault="00260119" w:rsidP="00260119"/>
        </w:tc>
      </w:tr>
      <w:tr w:rsidR="00272643" w:rsidTr="00D67BC8">
        <w:tc>
          <w:tcPr>
            <w:tcW w:w="4248" w:type="dxa"/>
            <w:vAlign w:val="center"/>
          </w:tcPr>
          <w:p w:rsidR="00272643" w:rsidRDefault="00272643">
            <w:pPr>
              <w:rPr>
                <w:color w:val="000000"/>
              </w:rPr>
            </w:pPr>
            <w:r>
              <w:rPr>
                <w:color w:val="000000"/>
              </w:rPr>
              <w:t xml:space="preserve">1. Количество реализованных проектов ТОС  и СО НКО в год </w:t>
            </w:r>
          </w:p>
        </w:tc>
        <w:tc>
          <w:tcPr>
            <w:tcW w:w="1292" w:type="dxa"/>
            <w:vAlign w:val="center"/>
          </w:tcPr>
          <w:p w:rsidR="00272643" w:rsidRDefault="00272643">
            <w:pPr>
              <w:jc w:val="center"/>
            </w:pPr>
            <w:r>
              <w:t>единиц</w:t>
            </w:r>
          </w:p>
        </w:tc>
        <w:tc>
          <w:tcPr>
            <w:tcW w:w="856" w:type="dxa"/>
            <w:vAlign w:val="center"/>
          </w:tcPr>
          <w:p w:rsidR="00272643" w:rsidRDefault="002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73" w:type="dxa"/>
            <w:vAlign w:val="center"/>
          </w:tcPr>
          <w:p w:rsidR="00272643" w:rsidRDefault="002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497" w:type="dxa"/>
            <w:vAlign w:val="center"/>
          </w:tcPr>
          <w:p w:rsidR="00272643" w:rsidRDefault="00272643">
            <w:pPr>
              <w:jc w:val="center"/>
            </w:pPr>
            <w:r>
              <w:t>18</w:t>
            </w:r>
          </w:p>
        </w:tc>
        <w:tc>
          <w:tcPr>
            <w:tcW w:w="1774" w:type="dxa"/>
            <w:vAlign w:val="center"/>
          </w:tcPr>
          <w:p w:rsidR="00272643" w:rsidRDefault="00272643">
            <w:pPr>
              <w:jc w:val="center"/>
            </w:pPr>
            <w:r>
              <w:t>325,0</w:t>
            </w:r>
          </w:p>
        </w:tc>
        <w:tc>
          <w:tcPr>
            <w:tcW w:w="4552" w:type="dxa"/>
          </w:tcPr>
          <w:p w:rsidR="00272643" w:rsidRPr="00492CB6" w:rsidRDefault="00272643" w:rsidP="00260119">
            <w:r>
              <w:t>-</w:t>
            </w:r>
          </w:p>
        </w:tc>
      </w:tr>
      <w:tr w:rsidR="00272643" w:rsidTr="00D67BC8">
        <w:tc>
          <w:tcPr>
            <w:tcW w:w="4248" w:type="dxa"/>
            <w:vAlign w:val="center"/>
          </w:tcPr>
          <w:p w:rsidR="00272643" w:rsidRDefault="00272643">
            <w:pPr>
              <w:rPr>
                <w:color w:val="000000"/>
              </w:rPr>
            </w:pPr>
            <w:r>
              <w:rPr>
                <w:color w:val="000000"/>
              </w:rPr>
              <w:t>2. Количество материалов о деятельности ТОС и СОНКО в средствах массовой информации и сети интернет в год</w:t>
            </w:r>
          </w:p>
        </w:tc>
        <w:tc>
          <w:tcPr>
            <w:tcW w:w="1292" w:type="dxa"/>
            <w:vAlign w:val="center"/>
          </w:tcPr>
          <w:p w:rsidR="00272643" w:rsidRDefault="00272643">
            <w:pPr>
              <w:jc w:val="center"/>
            </w:pPr>
            <w:r>
              <w:t>единиц</w:t>
            </w:r>
          </w:p>
        </w:tc>
        <w:tc>
          <w:tcPr>
            <w:tcW w:w="856" w:type="dxa"/>
            <w:vAlign w:val="center"/>
          </w:tcPr>
          <w:p w:rsidR="00272643" w:rsidRDefault="002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73" w:type="dxa"/>
            <w:vAlign w:val="center"/>
          </w:tcPr>
          <w:p w:rsidR="00272643" w:rsidRDefault="002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97" w:type="dxa"/>
            <w:vAlign w:val="center"/>
          </w:tcPr>
          <w:p w:rsidR="00272643" w:rsidRDefault="00272643">
            <w:pPr>
              <w:jc w:val="center"/>
            </w:pPr>
            <w:r>
              <w:t>0</w:t>
            </w:r>
          </w:p>
        </w:tc>
        <w:tc>
          <w:tcPr>
            <w:tcW w:w="1774" w:type="dxa"/>
            <w:vAlign w:val="center"/>
          </w:tcPr>
          <w:p w:rsidR="00272643" w:rsidRDefault="00272643">
            <w:pPr>
              <w:jc w:val="center"/>
            </w:pPr>
            <w:r>
              <w:t>100,0</w:t>
            </w:r>
          </w:p>
        </w:tc>
        <w:tc>
          <w:tcPr>
            <w:tcW w:w="4552" w:type="dxa"/>
          </w:tcPr>
          <w:p w:rsidR="00272643" w:rsidRPr="00492CB6" w:rsidRDefault="00272643" w:rsidP="00260119">
            <w:r w:rsidRPr="00492CB6">
              <w:t>-</w:t>
            </w:r>
          </w:p>
        </w:tc>
      </w:tr>
      <w:tr w:rsidR="00272643" w:rsidTr="00D67BC8">
        <w:tc>
          <w:tcPr>
            <w:tcW w:w="4248" w:type="dxa"/>
            <w:vAlign w:val="bottom"/>
          </w:tcPr>
          <w:p w:rsidR="00272643" w:rsidRDefault="00272643">
            <w:pPr>
              <w:rPr>
                <w:color w:val="000000"/>
              </w:rPr>
            </w:pPr>
            <w:r>
              <w:rPr>
                <w:color w:val="000000"/>
              </w:rPr>
              <w:t>3. Количество обученных представителей и руководителей актива ТОС и СО НКО от их общего числа представителей и руководителей актива ТОС и СО НКО</w:t>
            </w:r>
          </w:p>
        </w:tc>
        <w:tc>
          <w:tcPr>
            <w:tcW w:w="1292" w:type="dxa"/>
            <w:vAlign w:val="center"/>
          </w:tcPr>
          <w:p w:rsidR="00272643" w:rsidRDefault="00272643">
            <w:pPr>
              <w:jc w:val="center"/>
            </w:pPr>
            <w:r>
              <w:t>человек</w:t>
            </w:r>
          </w:p>
        </w:tc>
        <w:tc>
          <w:tcPr>
            <w:tcW w:w="856" w:type="dxa"/>
            <w:vAlign w:val="center"/>
          </w:tcPr>
          <w:p w:rsidR="00272643" w:rsidRDefault="002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73" w:type="dxa"/>
            <w:vAlign w:val="center"/>
          </w:tcPr>
          <w:p w:rsidR="00272643" w:rsidRDefault="002726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97" w:type="dxa"/>
            <w:vAlign w:val="center"/>
          </w:tcPr>
          <w:p w:rsidR="00272643" w:rsidRDefault="00272643">
            <w:pPr>
              <w:jc w:val="center"/>
            </w:pPr>
            <w:r>
              <w:t>0</w:t>
            </w:r>
          </w:p>
        </w:tc>
        <w:tc>
          <w:tcPr>
            <w:tcW w:w="1774" w:type="dxa"/>
            <w:vAlign w:val="center"/>
          </w:tcPr>
          <w:p w:rsidR="00272643" w:rsidRDefault="00272643">
            <w:pPr>
              <w:jc w:val="center"/>
            </w:pPr>
            <w:r>
              <w:t>100,0</w:t>
            </w:r>
          </w:p>
        </w:tc>
        <w:tc>
          <w:tcPr>
            <w:tcW w:w="4552" w:type="dxa"/>
          </w:tcPr>
          <w:p w:rsidR="00272643" w:rsidRPr="00492CB6" w:rsidRDefault="00272643" w:rsidP="00260119">
            <w:r w:rsidRPr="00492CB6">
              <w:t>-</w:t>
            </w:r>
          </w:p>
        </w:tc>
      </w:tr>
    </w:tbl>
    <w:p w:rsidR="00260119" w:rsidRDefault="00260119" w:rsidP="00260119"/>
    <w:sectPr w:rsidR="00260119" w:rsidSect="009972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BC8" w:rsidRDefault="00D67BC8" w:rsidP="00043A9F">
      <w:r>
        <w:separator/>
      </w:r>
    </w:p>
  </w:endnote>
  <w:endnote w:type="continuationSeparator" w:id="0">
    <w:p w:rsidR="00D67BC8" w:rsidRDefault="00D67BC8" w:rsidP="00043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BC8" w:rsidRDefault="00D67BC8" w:rsidP="00043A9F">
      <w:r>
        <w:separator/>
      </w:r>
    </w:p>
  </w:footnote>
  <w:footnote w:type="continuationSeparator" w:id="0">
    <w:p w:rsidR="00D67BC8" w:rsidRDefault="00D67BC8" w:rsidP="00043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4CE2"/>
    <w:multiLevelType w:val="hybridMultilevel"/>
    <w:tmpl w:val="7848F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AD6271"/>
    <w:multiLevelType w:val="hybridMultilevel"/>
    <w:tmpl w:val="AB5C94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972C3"/>
    <w:rsid w:val="000018B2"/>
    <w:rsid w:val="00043A9F"/>
    <w:rsid w:val="00047421"/>
    <w:rsid w:val="000566A3"/>
    <w:rsid w:val="00066301"/>
    <w:rsid w:val="00071FBC"/>
    <w:rsid w:val="00092859"/>
    <w:rsid w:val="000F165A"/>
    <w:rsid w:val="00115B85"/>
    <w:rsid w:val="001B46F5"/>
    <w:rsid w:val="001F3411"/>
    <w:rsid w:val="0020296D"/>
    <w:rsid w:val="00260119"/>
    <w:rsid w:val="0026182A"/>
    <w:rsid w:val="00264CBA"/>
    <w:rsid w:val="00265278"/>
    <w:rsid w:val="00267A57"/>
    <w:rsid w:val="00272643"/>
    <w:rsid w:val="002A7615"/>
    <w:rsid w:val="002B4A75"/>
    <w:rsid w:val="002C3B27"/>
    <w:rsid w:val="003C2A1F"/>
    <w:rsid w:val="003D6E53"/>
    <w:rsid w:val="00412DA1"/>
    <w:rsid w:val="004172D0"/>
    <w:rsid w:val="00433266"/>
    <w:rsid w:val="00447D5A"/>
    <w:rsid w:val="00512237"/>
    <w:rsid w:val="005957EE"/>
    <w:rsid w:val="005A3AA0"/>
    <w:rsid w:val="005B3354"/>
    <w:rsid w:val="005F0163"/>
    <w:rsid w:val="005F048C"/>
    <w:rsid w:val="00615456"/>
    <w:rsid w:val="00622548"/>
    <w:rsid w:val="00637B0E"/>
    <w:rsid w:val="00643027"/>
    <w:rsid w:val="00665F34"/>
    <w:rsid w:val="00667CED"/>
    <w:rsid w:val="0068399B"/>
    <w:rsid w:val="006A20ED"/>
    <w:rsid w:val="006C66DE"/>
    <w:rsid w:val="006C7F04"/>
    <w:rsid w:val="00706A4E"/>
    <w:rsid w:val="0074380F"/>
    <w:rsid w:val="00757535"/>
    <w:rsid w:val="007A7744"/>
    <w:rsid w:val="007C47F2"/>
    <w:rsid w:val="007D7C82"/>
    <w:rsid w:val="007E2ACB"/>
    <w:rsid w:val="00803048"/>
    <w:rsid w:val="00821AC2"/>
    <w:rsid w:val="00854F6F"/>
    <w:rsid w:val="00883412"/>
    <w:rsid w:val="009744F3"/>
    <w:rsid w:val="00993A6D"/>
    <w:rsid w:val="009972C3"/>
    <w:rsid w:val="00A028AD"/>
    <w:rsid w:val="00A03061"/>
    <w:rsid w:val="00A23445"/>
    <w:rsid w:val="00A3430C"/>
    <w:rsid w:val="00A407E0"/>
    <w:rsid w:val="00A55B0D"/>
    <w:rsid w:val="00A72747"/>
    <w:rsid w:val="00AA3660"/>
    <w:rsid w:val="00AC19F7"/>
    <w:rsid w:val="00B16FBA"/>
    <w:rsid w:val="00B403D6"/>
    <w:rsid w:val="00B71405"/>
    <w:rsid w:val="00B80542"/>
    <w:rsid w:val="00BA19C1"/>
    <w:rsid w:val="00BA1CFA"/>
    <w:rsid w:val="00BD49FB"/>
    <w:rsid w:val="00BD6093"/>
    <w:rsid w:val="00C947A9"/>
    <w:rsid w:val="00CA0C91"/>
    <w:rsid w:val="00CE4C50"/>
    <w:rsid w:val="00D15018"/>
    <w:rsid w:val="00D22E5B"/>
    <w:rsid w:val="00D32E9D"/>
    <w:rsid w:val="00D41ABD"/>
    <w:rsid w:val="00D67BC8"/>
    <w:rsid w:val="00D77812"/>
    <w:rsid w:val="00DC215E"/>
    <w:rsid w:val="00DC685A"/>
    <w:rsid w:val="00DD6496"/>
    <w:rsid w:val="00DE2276"/>
    <w:rsid w:val="00DF17FC"/>
    <w:rsid w:val="00E00384"/>
    <w:rsid w:val="00E64DBF"/>
    <w:rsid w:val="00E87E41"/>
    <w:rsid w:val="00EB62B4"/>
    <w:rsid w:val="00F11579"/>
    <w:rsid w:val="00F318BD"/>
    <w:rsid w:val="00FE62D2"/>
    <w:rsid w:val="00FF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2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972C3"/>
    <w:pPr>
      <w:spacing w:after="120"/>
      <w:ind w:left="283"/>
    </w:pPr>
  </w:style>
  <w:style w:type="paragraph" w:customStyle="1" w:styleId="ConsPlusNormal">
    <w:name w:val="ConsPlusNormal"/>
    <w:rsid w:val="009972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972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1">
    <w:name w:val="p1"/>
    <w:basedOn w:val="a"/>
    <w:rsid w:val="0068399B"/>
    <w:pPr>
      <w:spacing w:before="100" w:beforeAutospacing="1" w:after="100" w:afterAutospacing="1"/>
    </w:pPr>
  </w:style>
  <w:style w:type="character" w:customStyle="1" w:styleId="s1">
    <w:name w:val="s1"/>
    <w:basedOn w:val="a0"/>
    <w:rsid w:val="0068399B"/>
  </w:style>
  <w:style w:type="paragraph" w:customStyle="1" w:styleId="ConsPlusCell">
    <w:name w:val="ConsPlusCell"/>
    <w:rsid w:val="0004742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rsid w:val="00047421"/>
    <w:rPr>
      <w:rFonts w:cs="Times New Roman"/>
    </w:rPr>
  </w:style>
  <w:style w:type="paragraph" w:customStyle="1" w:styleId="Char">
    <w:name w:val="Char"/>
    <w:basedOn w:val="a"/>
    <w:autoRedefine/>
    <w:rsid w:val="00260119"/>
    <w:pPr>
      <w:spacing w:after="160" w:line="240" w:lineRule="exact"/>
    </w:pPr>
    <w:rPr>
      <w:sz w:val="28"/>
      <w:szCs w:val="20"/>
      <w:lang w:val="en-US" w:eastAsia="en-US"/>
    </w:rPr>
  </w:style>
  <w:style w:type="paragraph" w:styleId="a4">
    <w:name w:val="header"/>
    <w:basedOn w:val="a"/>
    <w:link w:val="a5"/>
    <w:rsid w:val="00043A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A9F"/>
    <w:rPr>
      <w:sz w:val="24"/>
      <w:szCs w:val="24"/>
    </w:rPr>
  </w:style>
  <w:style w:type="paragraph" w:styleId="a6">
    <w:name w:val="footer"/>
    <w:basedOn w:val="a"/>
    <w:link w:val="a7"/>
    <w:rsid w:val="00043A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43A9F"/>
    <w:rPr>
      <w:sz w:val="24"/>
      <w:szCs w:val="24"/>
    </w:rPr>
  </w:style>
  <w:style w:type="paragraph" w:customStyle="1" w:styleId="Char0">
    <w:name w:val=" Char"/>
    <w:basedOn w:val="a"/>
    <w:autoRedefine/>
    <w:rsid w:val="007E2ACB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1056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1</dc:creator>
  <cp:lastModifiedBy>econ3</cp:lastModifiedBy>
  <cp:revision>13</cp:revision>
  <dcterms:created xsi:type="dcterms:W3CDTF">2020-03-05T05:57:00Z</dcterms:created>
  <dcterms:modified xsi:type="dcterms:W3CDTF">2020-03-05T07:09:00Z</dcterms:modified>
</cp:coreProperties>
</file>