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4F" w:rsidRPr="00FC350D" w:rsidRDefault="00FC350D" w:rsidP="00FC35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C350D">
        <w:rPr>
          <w:rFonts w:ascii="Times New Roman" w:hAnsi="Times New Roman" w:cs="Times New Roman"/>
          <w:sz w:val="30"/>
          <w:szCs w:val="30"/>
        </w:rPr>
        <w:t>Сведения об организациях и предпринимателях, содержащиеся в государственных реестрах, доступны всем</w:t>
      </w:r>
    </w:p>
    <w:p w:rsidR="00FC350D" w:rsidRPr="00FC350D" w:rsidRDefault="00FC350D" w:rsidP="00FC35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50D" w:rsidRPr="00FC350D" w:rsidRDefault="00FC350D" w:rsidP="009B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5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3BE75B7" wp14:editId="7CB6D5A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161540" cy="1440180"/>
            <wp:effectExtent l="0" t="0" r="0" b="7620"/>
            <wp:wrapSquare wrapText="bothSides"/>
            <wp:docPr id="1" name="Рисунок 1" descr="E:\original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riginal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50D">
        <w:rPr>
          <w:rFonts w:ascii="Times New Roman" w:hAnsi="Times New Roman" w:cs="Times New Roman"/>
          <w:sz w:val="26"/>
          <w:szCs w:val="26"/>
        </w:rPr>
        <w:t>Электронные сервисы ФНС России, функционирующие на сайте ведомства, позволяют любому желающему получить сведения из государственных реестров о конкретном юридическом лице или индивидуальном предпринимателе.</w:t>
      </w:r>
    </w:p>
    <w:p w:rsidR="00FC350D" w:rsidRPr="00FC350D" w:rsidRDefault="00FC350D" w:rsidP="009B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50D">
        <w:rPr>
          <w:rFonts w:ascii="Times New Roman" w:hAnsi="Times New Roman" w:cs="Times New Roman"/>
          <w:sz w:val="26"/>
          <w:szCs w:val="26"/>
        </w:rPr>
        <w:t>Так, например, с помощью сервиса «Предоставление сведений из ЕГРЮЛ/ЕГРИП в электронном виде» можно получить выписку, содержащую необходимую информацию об объекте запроса, включая сведения о постановке на налоговый учёт, адрес юридического лица, данные о руководителях и учредителях, видах экономической деятельности, лицензиях и т.д.</w:t>
      </w:r>
    </w:p>
    <w:p w:rsidR="00FC350D" w:rsidRPr="009B48E6" w:rsidRDefault="00FC350D" w:rsidP="009B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50D">
        <w:rPr>
          <w:rFonts w:ascii="Times New Roman" w:hAnsi="Times New Roman" w:cs="Times New Roman"/>
          <w:sz w:val="26"/>
          <w:szCs w:val="26"/>
        </w:rPr>
        <w:t>Сформированная в сервисе выписка содержит визуализированную усиленную квалифицированную электронную подпись ФНС России, а значит, равнозначна выписке (справке) на бумажном носителе, подписанной собственноручной подписью должностного лица налогового органа и заверенной печатью</w:t>
      </w:r>
      <w:r w:rsidR="009B48E6" w:rsidRPr="009B48E6">
        <w:rPr>
          <w:rFonts w:ascii="Times New Roman" w:hAnsi="Times New Roman" w:cs="Times New Roman"/>
          <w:sz w:val="26"/>
          <w:szCs w:val="26"/>
        </w:rPr>
        <w:t>.</w:t>
      </w:r>
    </w:p>
    <w:p w:rsidR="00FC350D" w:rsidRPr="00FC350D" w:rsidRDefault="00FC350D" w:rsidP="009B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50D">
        <w:rPr>
          <w:rFonts w:ascii="Times New Roman" w:hAnsi="Times New Roman" w:cs="Times New Roman"/>
          <w:sz w:val="26"/>
          <w:szCs w:val="26"/>
        </w:rPr>
        <w:t>Кроме того, для заинтересованных лиц на сайте ФНС России функционирует электронный сервис «Прозрачный бизнес», где публикуется открытая и общедоступная информация о юридических лицах и индивидуальных предпринимателях. Данный сервис содержит сводную информацию о налогоплательщике–организации, включающую в себя сведения, предусмотренные пунктом 1.1 статьи 102 Налогового кодекса Российской Федерации (наличие задолженности, сведения о непредставлении отчётности и т.д.), а также сведения об адресах массовой регистрации юридических лиц, о массовых учредителях и руководителях.</w:t>
      </w:r>
      <w:bookmarkStart w:id="0" w:name="_GoBack"/>
      <w:bookmarkEnd w:id="0"/>
    </w:p>
    <w:sectPr w:rsidR="00FC350D" w:rsidRPr="00FC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0D"/>
    <w:rsid w:val="009B48E6"/>
    <w:rsid w:val="00CF224F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2021-02-24T13:02:00Z</dcterms:created>
  <dcterms:modified xsi:type="dcterms:W3CDTF">2021-02-24T13:02:00Z</dcterms:modified>
</cp:coreProperties>
</file>