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A8" w:rsidRPr="006C5E40" w:rsidRDefault="00005AA8" w:rsidP="00005AA8">
      <w:pPr>
        <w:spacing w:after="0" w:line="240" w:lineRule="auto"/>
        <w:ind w:left="4956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5E40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005AA8" w:rsidRPr="006C5E40" w:rsidRDefault="00005AA8" w:rsidP="00005AA8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24"/>
          <w:szCs w:val="24"/>
        </w:rPr>
      </w:pPr>
      <w:r w:rsidRPr="006C5E40">
        <w:rPr>
          <w:rFonts w:ascii="Times New Roman" w:eastAsia="Calibri" w:hAnsi="Times New Roman" w:cs="Times New Roman"/>
          <w:sz w:val="24"/>
          <w:szCs w:val="24"/>
        </w:rPr>
        <w:t xml:space="preserve">Распоряжением председателя Контрольно-счетной комиссии </w:t>
      </w:r>
      <w:proofErr w:type="spellStart"/>
      <w:r w:rsidRPr="006C5E40">
        <w:rPr>
          <w:rFonts w:ascii="Times New Roman" w:eastAsia="Calibri" w:hAnsi="Times New Roman" w:cs="Times New Roman"/>
          <w:sz w:val="24"/>
          <w:szCs w:val="24"/>
        </w:rPr>
        <w:t>Пинежского</w:t>
      </w:r>
      <w:proofErr w:type="spellEnd"/>
      <w:r w:rsidRPr="006C5E4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p w:rsidR="00005AA8" w:rsidRPr="006C5E40" w:rsidRDefault="00005AA8" w:rsidP="0000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E40">
        <w:rPr>
          <w:rFonts w:ascii="Times New Roman" w:eastAsia="Calibri" w:hAnsi="Times New Roman" w:cs="Times New Roman"/>
          <w:sz w:val="24"/>
          <w:szCs w:val="24"/>
        </w:rPr>
        <w:tab/>
      </w:r>
      <w:r w:rsidRPr="006C5E40">
        <w:rPr>
          <w:rFonts w:ascii="Times New Roman" w:eastAsia="Calibri" w:hAnsi="Times New Roman" w:cs="Times New Roman"/>
          <w:sz w:val="24"/>
          <w:szCs w:val="24"/>
        </w:rPr>
        <w:tab/>
      </w:r>
      <w:r w:rsidRPr="006C5E40">
        <w:rPr>
          <w:rFonts w:ascii="Times New Roman" w:eastAsia="Calibri" w:hAnsi="Times New Roman" w:cs="Times New Roman"/>
          <w:sz w:val="24"/>
          <w:szCs w:val="24"/>
        </w:rPr>
        <w:tab/>
      </w:r>
      <w:r w:rsidRPr="006C5E40">
        <w:rPr>
          <w:rFonts w:ascii="Times New Roman" w:eastAsia="Calibri" w:hAnsi="Times New Roman" w:cs="Times New Roman"/>
          <w:sz w:val="24"/>
          <w:szCs w:val="24"/>
        </w:rPr>
        <w:tab/>
      </w:r>
      <w:r w:rsidRPr="006C5E40">
        <w:rPr>
          <w:rFonts w:ascii="Times New Roman" w:eastAsia="Calibri" w:hAnsi="Times New Roman" w:cs="Times New Roman"/>
          <w:sz w:val="24"/>
          <w:szCs w:val="24"/>
        </w:rPr>
        <w:tab/>
      </w:r>
      <w:r w:rsidRPr="006C5E40">
        <w:rPr>
          <w:rFonts w:ascii="Times New Roman" w:eastAsia="Calibri" w:hAnsi="Times New Roman" w:cs="Times New Roman"/>
          <w:sz w:val="24"/>
          <w:szCs w:val="24"/>
        </w:rPr>
        <w:tab/>
      </w:r>
      <w:r w:rsidRPr="006C5E40">
        <w:rPr>
          <w:rFonts w:ascii="Times New Roman" w:eastAsia="Calibri" w:hAnsi="Times New Roman" w:cs="Times New Roman"/>
          <w:sz w:val="24"/>
          <w:szCs w:val="24"/>
        </w:rPr>
        <w:tab/>
      </w:r>
      <w:r w:rsidRPr="006C5E40">
        <w:rPr>
          <w:rFonts w:ascii="Times New Roman" w:eastAsia="Calibri" w:hAnsi="Times New Roman" w:cs="Times New Roman"/>
          <w:sz w:val="24"/>
          <w:szCs w:val="24"/>
        </w:rPr>
        <w:tab/>
        <w:t>от 03.02.2023 № 02-рк</w:t>
      </w:r>
    </w:p>
    <w:p w:rsidR="00005AA8" w:rsidRPr="006C5E40" w:rsidRDefault="00005AA8" w:rsidP="00005AA8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5E40">
        <w:rPr>
          <w:rFonts w:ascii="Times New Roman" w:eastAsia="Calibri" w:hAnsi="Times New Roman" w:cs="Times New Roman"/>
          <w:sz w:val="24"/>
          <w:szCs w:val="24"/>
        </w:rPr>
        <w:t>Заслушан</w:t>
      </w:r>
      <w:proofErr w:type="gramEnd"/>
      <w:r w:rsidRPr="006C5E40">
        <w:rPr>
          <w:rFonts w:ascii="Times New Roman" w:eastAsia="Calibri" w:hAnsi="Times New Roman" w:cs="Times New Roman"/>
          <w:sz w:val="24"/>
          <w:szCs w:val="24"/>
        </w:rPr>
        <w:t xml:space="preserve"> на заседании Собрания депутатов </w:t>
      </w:r>
      <w:proofErr w:type="spellStart"/>
      <w:r w:rsidRPr="006C5E40">
        <w:rPr>
          <w:rFonts w:ascii="Times New Roman" w:eastAsia="Calibri" w:hAnsi="Times New Roman" w:cs="Times New Roman"/>
          <w:sz w:val="24"/>
          <w:szCs w:val="24"/>
        </w:rPr>
        <w:t>Пинежского</w:t>
      </w:r>
      <w:proofErr w:type="spellEnd"/>
      <w:r w:rsidRPr="006C5E4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Архангельской области </w:t>
      </w:r>
    </w:p>
    <w:p w:rsidR="00005AA8" w:rsidRPr="006C5E40" w:rsidRDefault="00005AA8" w:rsidP="00005AA8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6C5E40">
        <w:rPr>
          <w:rFonts w:ascii="Times New Roman" w:eastAsia="Calibri" w:hAnsi="Times New Roman" w:cs="Times New Roman"/>
          <w:sz w:val="24"/>
          <w:szCs w:val="24"/>
        </w:rPr>
        <w:t>17.02.2023</w:t>
      </w:r>
    </w:p>
    <w:p w:rsidR="00005AA8" w:rsidRPr="006C5E40" w:rsidRDefault="00005AA8" w:rsidP="0000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E40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E40">
        <w:rPr>
          <w:rFonts w:ascii="Times New Roman" w:eastAsia="Calibri" w:hAnsi="Times New Roman" w:cs="Times New Roman"/>
          <w:sz w:val="28"/>
          <w:szCs w:val="28"/>
        </w:rPr>
        <w:t>о работе Контрольно-счетной комиссии</w:t>
      </w:r>
    </w:p>
    <w:p w:rsidR="00005AA8" w:rsidRPr="006C5E40" w:rsidRDefault="00005AA8" w:rsidP="00005A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5E40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05AA8" w:rsidRPr="006C5E40" w:rsidRDefault="00005AA8" w:rsidP="00005A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E40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</w:p>
    <w:p w:rsidR="00005AA8" w:rsidRPr="006C5E40" w:rsidRDefault="00005AA8" w:rsidP="00005A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E40">
        <w:rPr>
          <w:rFonts w:ascii="Times New Roman" w:eastAsia="Calibri" w:hAnsi="Times New Roman" w:cs="Times New Roman"/>
          <w:sz w:val="28"/>
          <w:szCs w:val="28"/>
        </w:rPr>
        <w:t>в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E40">
        <w:rPr>
          <w:rFonts w:ascii="Times New Roman" w:eastAsia="Calibri" w:hAnsi="Times New Roman" w:cs="Times New Roman"/>
          <w:sz w:val="28"/>
          <w:szCs w:val="28"/>
        </w:rPr>
        <w:t>году</w:t>
      </w: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tabs>
          <w:tab w:val="left" w:pos="64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E40">
        <w:rPr>
          <w:rFonts w:ascii="Times New Roman" w:eastAsia="Calibri" w:hAnsi="Times New Roman" w:cs="Times New Roman"/>
          <w:sz w:val="24"/>
          <w:szCs w:val="24"/>
        </w:rPr>
        <w:tab/>
      </w: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E40">
        <w:rPr>
          <w:rFonts w:ascii="Times New Roman" w:eastAsia="Calibri" w:hAnsi="Times New Roman" w:cs="Times New Roman"/>
          <w:sz w:val="24"/>
          <w:szCs w:val="24"/>
        </w:rPr>
        <w:t>с. Карпогоры</w:t>
      </w:r>
    </w:p>
    <w:p w:rsidR="00005AA8" w:rsidRPr="006C5E40" w:rsidRDefault="00005AA8" w:rsidP="00005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E40">
        <w:rPr>
          <w:rFonts w:ascii="Times New Roman" w:eastAsia="Calibri" w:hAnsi="Times New Roman" w:cs="Times New Roman"/>
          <w:sz w:val="24"/>
          <w:szCs w:val="24"/>
        </w:rPr>
        <w:t>2023</w:t>
      </w:r>
    </w:p>
    <w:p w:rsidR="00005AA8" w:rsidRPr="006C5E40" w:rsidRDefault="00005AA8" w:rsidP="00005AA8">
      <w:pPr>
        <w:pStyle w:val="a6"/>
        <w:shd w:val="clear" w:color="auto" w:fill="FFFFFF"/>
        <w:spacing w:after="0" w:afterAutospacing="0"/>
        <w:jc w:val="center"/>
        <w:rPr>
          <w:sz w:val="20"/>
          <w:szCs w:val="20"/>
        </w:rPr>
      </w:pPr>
      <w:r w:rsidRPr="006C5E40">
        <w:rPr>
          <w:sz w:val="28"/>
          <w:szCs w:val="28"/>
        </w:rPr>
        <w:lastRenderedPageBreak/>
        <w:t>Вводные положения</w:t>
      </w:r>
      <w:r w:rsidRPr="006C5E40">
        <w:rPr>
          <w:sz w:val="20"/>
          <w:szCs w:val="20"/>
        </w:rPr>
        <w:t> </w:t>
      </w:r>
    </w:p>
    <w:p w:rsidR="00005AA8" w:rsidRPr="006C5E40" w:rsidRDefault="00005AA8" w:rsidP="00005AA8">
      <w:pPr>
        <w:pStyle w:val="a6"/>
        <w:shd w:val="clear" w:color="auto" w:fill="FFFFFF"/>
        <w:spacing w:after="0" w:afterAutospacing="0"/>
        <w:jc w:val="center"/>
        <w:rPr>
          <w:sz w:val="20"/>
          <w:szCs w:val="20"/>
        </w:rPr>
      </w:pP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40">
        <w:rPr>
          <w:rFonts w:ascii="Times New Roman" w:hAnsi="Times New Roman" w:cs="Times New Roman"/>
          <w:sz w:val="28"/>
          <w:szCs w:val="28"/>
        </w:rPr>
        <w:t xml:space="preserve">Ежегодный отчет о работе Контрольно-счетной комиссии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за 2022 год (далее – отчет) подготовлен и представляется Собранию депутатов муниципального образования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(далее – Собрание депутатов)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16, 23 Положения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утвержденного решением Собрания депутатов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от 17 декабря 2021 года № 46.</w:t>
      </w: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В отчете отражена деятельность Контрольно-счетной комиссии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(далее – Контрольно-счетная комиссия) за 2022 год по выполнению задач в сфере внешнего муниципального финансового контроля, определенных законодательством Российской Федерации, Бюджетным кодексом Российской Федерации, Положением о контрольно-счетной комиссии, Регламентом, Планом работы на 2022 год. </w:t>
      </w:r>
    </w:p>
    <w:p w:rsidR="00005AA8" w:rsidRPr="006C5E40" w:rsidRDefault="00005AA8" w:rsidP="00005A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5AA8" w:rsidRPr="006C5E40" w:rsidRDefault="00005AA8" w:rsidP="00005AA8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Общая характеристика</w:t>
      </w:r>
    </w:p>
    <w:p w:rsidR="00005AA8" w:rsidRPr="006C5E40" w:rsidRDefault="00005AA8" w:rsidP="00005AA8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Контрольно-счетная комиссия является постоянно действующим органом внешнего муниципального финансового контроля, образована Собранием депутатов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и ему подотчетна.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Архангельской области, Устава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Положения о Контрольно-счетной комиссии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и иных муниципальных правовых актов.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Контрольно-счетная комиссия образована в составе председателя и инспектора. Председатель замещает муниципальную должность, должность инспектора относится к ведущей должности муниципальной службы.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комиссии составляет 2 человека. Все являются гражданами Российской Федерации, имеют высшее образование.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lastRenderedPageBreak/>
        <w:t>Полномочия Контрольно-счетной комиссии определены статьей 10 Положения о Контрольно-счетной комиссии.</w:t>
      </w:r>
    </w:p>
    <w:p w:rsidR="00005AA8" w:rsidRPr="006C5E40" w:rsidRDefault="00005AA8" w:rsidP="00005A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Свою деятельность в отчетном периоде Контрольно-счетная комиссия осуществляла на основании годового плана, сформированного с учетом реализации полномочий Контрольно-счетной комиссии, приоритетных задач в сфере внешнего муниципального финансового контроля, результатов контрольных и экспертно-аналитических мероприятий 2022 года, поручений Собрания депутатов, предложений Прокуратуры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района, ОМВД России по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району. 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Контрольно-счетная комиссия осуществляет свои полномочия в форме контрольных и экспертно-аналитических мероприятий.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За отчетный период Контрольно-счетной комиссией проведено 82 </w:t>
      </w:r>
      <w:r w:rsidRPr="006C5E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5E40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 (в 2021 году 77, в 2020 году – 64). </w:t>
      </w:r>
    </w:p>
    <w:p w:rsidR="00005AA8" w:rsidRPr="006C5E40" w:rsidRDefault="00005AA8" w:rsidP="00005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AA8" w:rsidRPr="006C5E40" w:rsidRDefault="00005AA8" w:rsidP="00005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AA8" w:rsidRPr="006C5E40" w:rsidRDefault="00005AA8" w:rsidP="00005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</w:t>
      </w:r>
    </w:p>
    <w:p w:rsidR="00005AA8" w:rsidRPr="006C5E40" w:rsidRDefault="00005AA8" w:rsidP="00005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AA8" w:rsidRPr="006C5E40" w:rsidRDefault="00005AA8" w:rsidP="00005A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проведено 55 (в 2021 году 48, в 2020 году 35) экспертно-аналитических мероприятий. Их них:</w:t>
      </w: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40">
        <w:rPr>
          <w:rFonts w:ascii="Times New Roman" w:hAnsi="Times New Roman" w:cs="Times New Roman"/>
          <w:sz w:val="28"/>
          <w:szCs w:val="28"/>
        </w:rPr>
        <w:t xml:space="preserve">Проведены экспертизы и выданы заключения на шесть проектов решений Собрания депутатов по результатам экспертно-аналитических мероприятий «Экспертиза проекта решения Собрания депутатов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«О внесении изменений и дополнений в решение Собрания депутатов «О бюджете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на 2022 год и плановый период 2023 и 2024 годов»  и поправок к ним.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По итогам экспертных мероприятий были сделаны выводы о том, что проекты решений в целом не противоречат действующему бюджетному законодательству.</w:t>
      </w: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Проведена экспертиза и выдано заключение на проект решения Собрания депутатов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«О бюджете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 и 2025 годов».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 xml:space="preserve">По итогам экспертизы Контрольно-счетной комиссией сделано заключение: содержание проекта решения о бюджете соответствует требованиям Бюджетного кодекса Российской Федерации, Положению о бюджетном процессе; доходы районного бюджета на 2023 год и плановый период  2024 и 2025 годов увязаны с прогнозом социально-экономического развития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соответствующий период; требования статьи 174.1 БК РФ при формировании доходов соблюдены;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 xml:space="preserve">формирование расходов бюджета соответствует статье 65 БК РФ; нарушений принципов бюджетной системы, определенных статьей 28 БК РФ не установлено; нормативы и ограничения, установленные БК РФ выдержаны; бюджет составлен программным методом; в целом проект оценивается положительно, так как его реализация позволит </w:t>
      </w:r>
      <w:r w:rsidRPr="006C5E4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финансирование расходных обязательств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социально-значимых. </w:t>
      </w:r>
      <w:proofErr w:type="gramEnd"/>
    </w:p>
    <w:p w:rsidR="00005AA8" w:rsidRPr="006C5E40" w:rsidRDefault="00005AA8" w:rsidP="00005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Подготовлены и выданы заключения по результатам экспертно-аналитических мероприятий о ходе исполнения бюджета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за 1 квартал, 1 полугодие и 9 месяцев 2022 года.</w:t>
      </w: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Проведены экспертизы и выданы заключения по семнадцати проектам решений Собрания депутатов по нормативно-правовым актам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области. Выданы заключения на проекты решений Собрания депутатов:</w:t>
      </w: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внесении изменений и дополнений в решение Собрания депутатов от18.02.2022г. № 62 «О выплате процентной надбавки к заработной плате за стаж работы в районах Крайнего Севера работникам органов местного самоуправления и муниципальных учреждений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внесении изменений и дополнений в решение Собрания депутатов от 18.02.2022г. № 61 «Об утверждении Положения о предоставлении гарантий и компенсаций, связанных с переездом, лицам, заключившим трудовые договоры о работе в органах местного самоуправления и муниципальных учреждениях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области»"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внесении изменений в Положение о порядке исчисления, сроках, размерах и условиях внесения платы за пользование жилым помещением (плате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"Об утверждении Положения о представительских расходах в органах местного самоуправления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"Об индексации денежного вознаграждения выборных должностных лиц местного самоуправления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осуществляющих свои полномочия на постоянной основе и о внесении изменений в Положение о Контрольно-счетной комиссии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внесении изменений в Положение о гарантиях осуществления полномочий выборных должностных лиц местного самоуправления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район»,  осуществляющих свои полномочия на постоянной основе";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"Об утверждении Положения о системе оплаты труда муниципальных служащих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области";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"О внесении изменений в Положение о компенсации расходов на оплату стоимости проезда и провоза багажа к месту использования отпуска и </w:t>
      </w:r>
      <w:r w:rsidRPr="006C5E40">
        <w:rPr>
          <w:rFonts w:ascii="Times New Roman" w:hAnsi="Times New Roman" w:cs="Times New Roman"/>
          <w:sz w:val="28"/>
          <w:szCs w:val="28"/>
        </w:rPr>
        <w:lastRenderedPageBreak/>
        <w:t>обратно лицам, работающим в органах местного самоуправления и муниципальных учреждениях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и членам их семей";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внесении изменений в Порядок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район»";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внесении изменений и дополнений в решение Собрания депутатов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от 09.02.2018 №147 «О создании условий для обеспечения жителей труднодоступных и малонаселенных пунктов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 услугами торговли»"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внесении изменений и дополнений в решение Собрания депутатов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от 09.02.2018 №147 «О создании условий для обеспечения жителей труднодоступных и малонаселенных пунктов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 услугами торговли»"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"Об утверждении Положения о представительских расходах в органах местного самоуправления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«О создании условий для обеспечения жителей труднодоступных и малонаселенных пунктов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 услугами торговли»"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выплате  процентной надбавки к заработной плате за стаж работы в районах Крайнего Севера работникам органов местного самоуправления и муниципальных учреждений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"Об утверждении Положения о предоставлении гарантий и компенсаций, связанных с переездом, лицам, заключившим трудовые договоры о работе в органах местного самоуправления и муниципальных учреждениях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"Об утверждении Положения о 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и членам их семей"</w:t>
      </w:r>
    </w:p>
    <w:p w:rsidR="00005AA8" w:rsidRPr="006C5E40" w:rsidRDefault="00005AA8" w:rsidP="00005A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"О внесении изменений в решение Собрания депутатов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от 24.11.2011 № 303 «Об утверждении Положения о системе оплаты труда муниципальных служащих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По итогам рассмотрения проектов нормативно-правовых актов контрольно-счетной комиссией внесено восемь предложений.</w:t>
      </w:r>
    </w:p>
    <w:p w:rsidR="00005AA8" w:rsidRPr="006C5E40" w:rsidRDefault="00005AA8" w:rsidP="00005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В рамках соглашений о передаче полномочий по осуществлению внешнего муниципального финансового контроля контрольно-счетного </w:t>
      </w:r>
      <w:r w:rsidRPr="006C5E40">
        <w:rPr>
          <w:rFonts w:ascii="Times New Roman" w:hAnsi="Times New Roman" w:cs="Times New Roman"/>
          <w:sz w:val="28"/>
          <w:szCs w:val="28"/>
        </w:rPr>
        <w:lastRenderedPageBreak/>
        <w:t>органа муниципального образования поселения Контрольно-счетной комиссией проведены:</w:t>
      </w:r>
    </w:p>
    <w:p w:rsidR="00005AA8" w:rsidRPr="006C5E40" w:rsidRDefault="00005AA8" w:rsidP="00005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экспертизы годовых отчетов об исполнении местного бюджета за 2021 год четырнадцати муниципальных образованиях поселений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района: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«Сосновское»,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», «Междуреченское», «Сурское». Подготовлены  заключения, которые направлены в адрес Главы и председателя Совета депутатов соответствующего поселения. </w:t>
      </w:r>
    </w:p>
    <w:p w:rsidR="00005AA8" w:rsidRPr="006C5E40" w:rsidRDefault="00005AA8" w:rsidP="00005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4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кспертизы проектов местного бюджета на 2023 год четырнадцати муниципальных образований поселений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«Сосновское», 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«Сурское»,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МО «Междуреченское».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Сделан вывод, что в целом проекты решений «О местном бюджете на 2023 год» характеризуется как сбалансированные, не противоречащие бюджетному и иному законодательству и могут  быть рассмотрены Советами депутатов муниципальных образований с учетом замечаний, отмеченных контрольно-счетной комиссий. Подготовлены соответствующие заключения, которые направлены в адрес глав и председателей Совета депутатов поселений.</w:t>
      </w:r>
    </w:p>
    <w:p w:rsidR="00005AA8" w:rsidRPr="006C5E40" w:rsidRDefault="00005AA8" w:rsidP="00005AA8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AA8" w:rsidRPr="006C5E40" w:rsidRDefault="00005AA8" w:rsidP="00005AA8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40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005AA8" w:rsidRPr="006C5E40" w:rsidRDefault="00005AA8" w:rsidP="00005AA8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AA8" w:rsidRPr="006C5E40" w:rsidRDefault="00005AA8" w:rsidP="00005AA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по осуществлению контроля за законностью, результативностью (эффективностью и экономностью) использования бюджетных сре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>оведено 27 контрольных мероприятий (в 2021 году 29, в 2020 году 29).</w:t>
      </w:r>
    </w:p>
    <w:p w:rsidR="00005AA8" w:rsidRPr="006C5E40" w:rsidRDefault="00005AA8" w:rsidP="00005A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40">
        <w:rPr>
          <w:rFonts w:ascii="Times New Roman" w:hAnsi="Times New Roman" w:cs="Times New Roman"/>
          <w:sz w:val="28"/>
          <w:szCs w:val="28"/>
        </w:rPr>
        <w:t>В соответствии с требованиями статьи 264.4 Бюджетного кодекса Российской Федерации, статьи 31 Положения о бюджетном процессе в муниципальном образовании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области, статьи 10 Положения о Контрольно-счетной комиссии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Порядком проведения внешней проверки годового отчета об исполнении бюджета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проверка годового отчета об исполнении районного бюджета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>» за 2021 год. По итогам проверки сделано заключение:</w:t>
      </w:r>
      <w:r w:rsidRPr="006C5E40">
        <w:rPr>
          <w:rFonts w:ascii="Times New Roman" w:hAnsi="Times New Roman" w:cs="Times New Roman"/>
        </w:rPr>
        <w:t xml:space="preserve"> </w:t>
      </w:r>
      <w:r w:rsidRPr="006C5E40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2021 год </w:t>
      </w:r>
      <w:r w:rsidRPr="006C5E4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представлен в форме проекта решения «Об исполнении районного бюджета за 2021 год» в сроки, установленные Бюджетным кодексом Российской Федерации, Положением о бюджетном процессе.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Представленный отчет по составу соответствует статье 264 БК РФ; факты неполноты годового отчета не выявлены; годовой отчет по составу и содержанию (перечню отраженных в нем показателей) соответствует установленным требованиям; факты недостоверности годового отчета не выявлены; показатели отчета об исполнении районного бюджета за 2021 год подтверждены соответствующей годовой бюджетной отчетностью главных администраторов бюджетных средств;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расхождений в показателях исполнения районного бюджета за 2021 год в разрезе основных характеристик согласно годовому отчету и согласно своду бюджетной отчетности главных администраторов бюджетных средств в ходе внешней проверки не установлено; фактов, способных негативно повлиять на достоверность годового отчета об исполнении районного бюджета, в ходе внешней проверки не выявлено; исполнение районного бюджета соответствует нормам бюджетного законодательства.</w:t>
      </w:r>
      <w:proofErr w:type="gramEnd"/>
    </w:p>
    <w:p w:rsidR="00005AA8" w:rsidRPr="006C5E40" w:rsidRDefault="00005AA8" w:rsidP="00005A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В отчетном периоде проведено семь внешних проверок годовой бюджетной отчетности главных распорядителей бюджетных средств за 2021 год: Управление образования администрации 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район», Комитет по финансам администрации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район», Администрация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район», Собрание депутатов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район», КУМИ и ЖКХ администрации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район», Отдел по культуре и туризму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район», КСК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района. По всем проверкам сделано заключение о том,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Федерации. </w:t>
      </w:r>
    </w:p>
    <w:p w:rsidR="00005AA8" w:rsidRPr="006C5E40" w:rsidRDefault="00005AA8" w:rsidP="00005A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В рамках соглашений о передаче полномочий по осуществлению внешнего муниципального финансового контроля контрольно-счетного органа муниципального образования поселения Контрольно-счетной комиссии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проведены четырнадцать внешних проверок годовой бюджетной отчетности за 2021 год администраций муниципальных образований поселений: 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«Сосновское»,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«Междуреченское»,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», «Сурское».</w:t>
      </w:r>
    </w:p>
    <w:p w:rsidR="00005AA8" w:rsidRPr="006C5E40" w:rsidRDefault="00005AA8" w:rsidP="00005A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В результате проведенных проверок сделано 13 положительных заключений и 1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отрицательное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>.</w:t>
      </w:r>
    </w:p>
    <w:p w:rsidR="00005AA8" w:rsidRPr="006C5E40" w:rsidRDefault="00005AA8" w:rsidP="00005A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В ходе исполнения полномочий внешнего муниципального финансового контроля при проверке годовой бюджетной отчетности за 2021 год муниципального образования «Сурское» контрольно-счетная комиссия </w:t>
      </w:r>
      <w:r w:rsidRPr="006C5E40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представленных администрацией МО «Сурское» документов не смогла сделать вывод о достоверности бухгалтерского учета и о соответствии ведения бухгалтерского учета администрацией МО «Сурское» законодательству Российской Федерации. Главе МО «Сурское»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Порохину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А.В. направлено соответствующее представление контрольно-счетной комиссии. Информация направлена также прокурору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Праймеренко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Е.Ю. 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начальника ОМВД России по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району подполковнику полиции Труфанову Н.М.</w:t>
      </w: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проверок годовой бюджетной отчетности администраций муниципальных образований поселений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вынесено 14 представлений об устранении нарушений. </w:t>
      </w:r>
    </w:p>
    <w:p w:rsidR="00005AA8" w:rsidRPr="006C5E40" w:rsidRDefault="00005AA8" w:rsidP="000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Нарушения, выявленные в ходе проверок годовой бюджетной отчетности администраций муниципальных образований поселений, отражены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709"/>
        <w:gridCol w:w="708"/>
        <w:gridCol w:w="851"/>
        <w:gridCol w:w="992"/>
        <w:gridCol w:w="1276"/>
      </w:tblGrid>
      <w:tr w:rsidR="00005AA8" w:rsidRPr="006C5E40" w:rsidTr="00ED26D5">
        <w:trPr>
          <w:trHeight w:val="745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Вид нарушения / нарушение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Правовые основания квалификации нарушения</w:t>
            </w: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Кол-во нарушений</w:t>
            </w:r>
          </w:p>
        </w:tc>
        <w:tc>
          <w:tcPr>
            <w:tcW w:w="851" w:type="dxa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Группа нарушения</w:t>
            </w:r>
          </w:p>
        </w:tc>
        <w:tc>
          <w:tcPr>
            <w:tcW w:w="99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Сумма нарушения, тыс. руб.</w:t>
            </w:r>
          </w:p>
        </w:tc>
        <w:tc>
          <w:tcPr>
            <w:tcW w:w="1276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Мера ответственности</w:t>
            </w:r>
          </w:p>
        </w:tc>
      </w:tr>
      <w:tr w:rsidR="00005AA8" w:rsidRPr="006C5E40" w:rsidTr="00ED26D5">
        <w:trPr>
          <w:trHeight w:val="220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</w:tr>
      <w:tr w:rsidR="00005AA8" w:rsidRPr="006C5E40" w:rsidTr="00ED26D5">
        <w:trPr>
          <w:trHeight w:val="220"/>
        </w:trPr>
        <w:tc>
          <w:tcPr>
            <w:tcW w:w="817" w:type="dxa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2. Нарушение ведения бухгалтерского учета, составления и представления бухгалтерской (финансовой отчетности)</w:t>
            </w:r>
          </w:p>
        </w:tc>
      </w:tr>
      <w:tr w:rsidR="00005AA8" w:rsidRPr="006C5E40" w:rsidTr="00ED26D5">
        <w:trPr>
          <w:trHeight w:val="9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05AA8" w:rsidRPr="006C5E40" w:rsidRDefault="00005AA8" w:rsidP="00ED26D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Нарушение требований, предъявляемых к проведению инвентаризации активов и обязатель</w:t>
            </w:r>
            <w:proofErr w:type="gramStart"/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ств в сл</w:t>
            </w:r>
            <w:proofErr w:type="gramEnd"/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учаях, сроках и порядке, а также к перечню объектов, подлежащих инвентаризации определенных экономическим субъектом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5AA8" w:rsidRPr="006C5E40" w:rsidRDefault="00005AA8" w:rsidP="00ED26D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Ст.11 Федерального закона от 06 декабря 2011 года № 402-ФЗ «О бухгалтерском учете»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5AA8" w:rsidRPr="006C5E40" w:rsidRDefault="00005AA8" w:rsidP="00ED26D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16</w:t>
            </w: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005AA8" w:rsidRPr="006C5E40" w:rsidTr="00ED26D5">
        <w:trPr>
          <w:trHeight w:val="989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Ст.13,14 Федерального закона от 06 декабря 2011 года № 402-ФЗ «О бухгалтерском учете» </w:t>
            </w: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005AA8" w:rsidRPr="006C5E40" w:rsidTr="00ED26D5">
        <w:trPr>
          <w:trHeight w:val="220"/>
        </w:trPr>
        <w:tc>
          <w:tcPr>
            <w:tcW w:w="9464" w:type="dxa"/>
            <w:gridSpan w:val="8"/>
            <w:vAlign w:val="center"/>
          </w:tcPr>
          <w:p w:rsidR="00005AA8" w:rsidRPr="006C5E40" w:rsidRDefault="00005AA8" w:rsidP="00ED26D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1 . Нарушения в ходе исполнения бюджетов</w:t>
            </w:r>
          </w:p>
        </w:tc>
      </w:tr>
      <w:tr w:rsidR="00005AA8" w:rsidRPr="006C5E40" w:rsidTr="00ED26D5">
        <w:trPr>
          <w:trHeight w:val="220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1.2.91</w:t>
            </w: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Непредставление или представление с нарушением сроков бюджетной отчетности, нарушение порядка составления и предоставления отчета об исполнении бюджетов бюджетной системы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Ст.264</w:t>
            </w:r>
            <w:r w:rsidRPr="006C5E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 xml:space="preserve"> – 264</w:t>
            </w:r>
            <w:r w:rsidRPr="006C5E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Ст.15.15.6 Кодекса Российской Федерации об административных правонарушениях</w:t>
            </w:r>
          </w:p>
        </w:tc>
      </w:tr>
      <w:tr w:rsidR="00005AA8" w:rsidRPr="006C5E40" w:rsidTr="00ED26D5">
        <w:trPr>
          <w:trHeight w:val="989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1.2.42</w:t>
            </w: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ст.217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005AA8" w:rsidRPr="006C5E40" w:rsidTr="00ED26D5">
        <w:trPr>
          <w:trHeight w:val="220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4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5AA8" w:rsidRPr="006C5E40" w:rsidRDefault="00005AA8" w:rsidP="00ED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5AA8" w:rsidRPr="006C5E40" w:rsidRDefault="00005AA8" w:rsidP="0000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A8" w:rsidRPr="006C5E40" w:rsidRDefault="00005AA8" w:rsidP="0000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ab/>
        <w:t xml:space="preserve">По обращению ОМВД России по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району проведена проверка обоснованности расходования денежных средств администрацией муниципального образования «Сурское». Объем проверенных средств составил 1039,0 тыс. рублей. Объем выявленных нарушений 395429,6 тыс. рублей. Результаты проверки переданы в ОМВД России по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По инициативе заместителя прокурора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законодательства при организации поставки и перевозки продукции (товаров) в районы Крайнего Севера и приравненные к ним местности в 2021 году. По итогам проверки сделаны выводы:</w:t>
      </w:r>
    </w:p>
    <w:p w:rsidR="00005AA8" w:rsidRPr="006C5E40" w:rsidRDefault="00005AA8" w:rsidP="00005A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расходные обязательства за счет средств районного бюджета не производились, нарушений порядка и условий получения межбюджетных трансфертов не выявлено, нарушения законности и своевременности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расходования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выделенных из бюджетов денежных средств, в том числе полноту реализации предусмотренных статьей 128 БК РФ полномочий главных распорядителей бюджетных средств по обеспечению результативности, адресности и целевого  характера их использования, контроля за соблюдением получателями целей и порядка их получения не установлено. Межбюджетные трансферты на доставку муки и лекарственных сре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>айоны Крайнего Севера и приравненные к ним местности с ограничением срока завоза грузов доведены до получателей бюджетных средств в полном объеме.</w:t>
      </w:r>
    </w:p>
    <w:p w:rsidR="00005AA8" w:rsidRPr="006C5E40" w:rsidRDefault="00005AA8" w:rsidP="00005A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ab/>
        <w:t xml:space="preserve">По инициативе заместителя прокурора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 проведена проверка на соответствие Федеральному закону № 44-ФЗ «О контрактной системе в сфере закупок товаров, работ, услуг для обеспечения государственных и муниципальных нужд» заключенных муниципальных контрактов. Установлены такие нарушения как: изменения существенных условий контракта, не своевременное размещение в ЕИС. Информация о выявленных нарушениях передана в Прокуратуру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По поручению планово-бюджетной комиссии Собрания депутатов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проведена проверка бюджета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 за 2022 год. По итогам проверки сделан вывод о недостаточности средств бюджета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>» для покрытия текущих расходов МБУК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Карпогорский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центр культуры». Заключение по проверке передано в Собрание депутатов. 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Проведена проверка законности, эффективности и целевого использования бюджетных средств, выделенных на реализацию муниципальной программы «Комплексное развитие сельских территорий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на 2020 – 2025 годы», за 2021 год.  Объем охваченных проверкой средств: 4 485,1 тыс. рублей. Нарушений не выявлено, бюджетные средства исполнены в полном объеме, целевые показатели достигнуты.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проверка законности, эффективности и целевого использования бюджетных средств, выделенных на реализацию муниципальной программы «Развитие и поддержка территориального общественного самоуправления и социально ориентированных некоммерческих организаций в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районе на 2017-2024 годы» за 2021 год. Объем проверенных средств: 2 901,9 тыс. рублей. По результатам проверки реализации муниципальной программы установлено следующее:</w:t>
      </w:r>
    </w:p>
    <w:p w:rsidR="00005AA8" w:rsidRPr="006C5E40" w:rsidRDefault="00005AA8" w:rsidP="00005A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Утвержденные расходы освоены в полном объеме, целевые показатели на 2021 год достигнуты на 230% по количеству реализованных проектов ТОС и СОНКО; на 100% по количеству материалов о деятельности ТОС в СМИ;</w:t>
      </w:r>
    </w:p>
    <w:p w:rsidR="00005AA8" w:rsidRPr="006C5E40" w:rsidRDefault="00005AA8" w:rsidP="00005A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на 35% по обучению представителей и руководителей ТОС. При проверке соблюдения порядка расходования субсидий за 2021 год установлено: получателями субсидий представляются отчеты с нарушениями сроков, предусмотренных п. п.2.1.4 и 2.1.5 соглашений; в нарушение статьи 9 Федерального закона от 06.12.2011 № 402-ФЗ «О бухгалтерском учете» приняты к учету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оформленные документы (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приняты авансовые отчеты на сумму 284 292,5 рублей не утверждены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руководителем, отсутствует подпись главного бухгалтера и подотчетного лица); </w:t>
      </w:r>
      <w:r w:rsidRPr="006C5E40">
        <w:rPr>
          <w:rFonts w:ascii="Times New Roman" w:hAnsi="Times New Roman" w:cs="Times New Roman"/>
          <w:sz w:val="28"/>
          <w:szCs w:val="28"/>
        </w:rPr>
        <w:tab/>
        <w:t>документы, подтверждающие расходы, не всегда прилагаются в полном объеме и правильно оформленные. Классификация выявленных нарушений приведена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709"/>
        <w:gridCol w:w="708"/>
        <w:gridCol w:w="851"/>
        <w:gridCol w:w="850"/>
        <w:gridCol w:w="1418"/>
      </w:tblGrid>
      <w:tr w:rsidR="00005AA8" w:rsidRPr="006C5E40" w:rsidTr="00ED26D5">
        <w:trPr>
          <w:trHeight w:val="745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Вид нарушения / нарушение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Правовые основания квалификации нарушения</w:t>
            </w: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нарушен</w:t>
            </w:r>
            <w:proofErr w:type="gramEnd"/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Группа нарушения</w:t>
            </w:r>
          </w:p>
        </w:tc>
        <w:tc>
          <w:tcPr>
            <w:tcW w:w="850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Сумма нарушения, тыс. руб.</w:t>
            </w:r>
          </w:p>
        </w:tc>
        <w:tc>
          <w:tcPr>
            <w:tcW w:w="1418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Мера ответственности</w:t>
            </w:r>
          </w:p>
        </w:tc>
      </w:tr>
      <w:tr w:rsidR="00005AA8" w:rsidRPr="006C5E40" w:rsidTr="00ED26D5">
        <w:trPr>
          <w:trHeight w:val="220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005AA8" w:rsidRPr="006C5E40" w:rsidTr="00ED26D5">
        <w:trPr>
          <w:trHeight w:val="220"/>
        </w:trPr>
        <w:tc>
          <w:tcPr>
            <w:tcW w:w="817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552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Нарушение требований, предъявляемых к обязательным реквизитам первичных учетных документов</w:t>
            </w:r>
          </w:p>
        </w:tc>
        <w:tc>
          <w:tcPr>
            <w:tcW w:w="1559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Ч.2 Ст.9 Федерального закона от 06 декабря 2011 года№402-ФЗ «О бухгалтерском учете»</w:t>
            </w:r>
          </w:p>
        </w:tc>
        <w:tc>
          <w:tcPr>
            <w:tcW w:w="709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Calibri" w:hAnsi="Times New Roman" w:cs="Times New Roman"/>
                <w:sz w:val="16"/>
                <w:szCs w:val="16"/>
              </w:rPr>
              <w:t>284292,5</w:t>
            </w:r>
          </w:p>
        </w:tc>
        <w:tc>
          <w:tcPr>
            <w:tcW w:w="1418" w:type="dxa"/>
            <w:vAlign w:val="center"/>
          </w:tcPr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005AA8" w:rsidRPr="006C5E40" w:rsidRDefault="00005AA8" w:rsidP="00ED26D5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5E40">
              <w:rPr>
                <w:rFonts w:ascii="Times New Roman" w:eastAsia="MS Mincho" w:hAnsi="Times New Roman" w:cs="Times New Roman"/>
                <w:sz w:val="16"/>
                <w:szCs w:val="16"/>
              </w:rPr>
              <w:t>-----------</w:t>
            </w:r>
          </w:p>
        </w:tc>
      </w:tr>
    </w:tbl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По итогам проверки контрольно-счетной комиссией в адрес начальника Отдела по культуре и туризму администрации МО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район» направлено представление об устранении выявленных нарушений. 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В 2022 году в контрольно-счетную комиссию поступило 1 обращение от муниципального служащего по вопросу отплаты труда и перевода на другую муниципальную должность. Проведена проверка. </w:t>
      </w:r>
      <w:proofErr w:type="gramStart"/>
      <w:r w:rsidRPr="006C5E40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6C5E40">
        <w:rPr>
          <w:rFonts w:ascii="Times New Roman" w:hAnsi="Times New Roman" w:cs="Times New Roman"/>
          <w:sz w:val="28"/>
          <w:szCs w:val="28"/>
        </w:rPr>
        <w:t xml:space="preserve"> дан ответ.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40">
        <w:rPr>
          <w:rFonts w:ascii="Times New Roman" w:hAnsi="Times New Roman" w:cs="Times New Roman"/>
          <w:sz w:val="28"/>
          <w:szCs w:val="28"/>
        </w:rPr>
        <w:t>Заключения по результатам экспертно-аналитических и контрольных мероприятий направлялись в Собрание депутатов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области, Главе муниципального образования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области, главам муниципальных образований поселений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председателям представительных </w:t>
      </w:r>
      <w:r w:rsidRPr="006C5E40">
        <w:rPr>
          <w:rFonts w:ascii="Times New Roman" w:hAnsi="Times New Roman" w:cs="Times New Roman"/>
          <w:sz w:val="28"/>
          <w:szCs w:val="28"/>
        </w:rPr>
        <w:lastRenderedPageBreak/>
        <w:t xml:space="preserve">органов муниципальных образований поселений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района, в Прокуратуру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района, ОМВД России по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району. </w:t>
      </w:r>
      <w:proofErr w:type="gramEnd"/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E40">
        <w:rPr>
          <w:rFonts w:ascii="Times New Roman" w:eastAsia="Calibri" w:hAnsi="Times New Roman" w:cs="Times New Roman"/>
          <w:sz w:val="28"/>
          <w:szCs w:val="28"/>
        </w:rPr>
        <w:t>Прочая деятельность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AA8" w:rsidRPr="006C5E40" w:rsidRDefault="00005AA8" w:rsidP="00005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В рамках установленных полномочий в отчетном году председатель контрольно-счетной комиссии приняла участие в Координационном совете при Собрании депутатов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с докладом о целях и задачах внешнего муниципального финансового контроля. </w:t>
      </w:r>
    </w:p>
    <w:p w:rsidR="00005AA8" w:rsidRPr="006C5E40" w:rsidRDefault="00005AA8" w:rsidP="00005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Также председатель контрольно-счетной комиссии выступила на заседании совета по противодействию коррупции в муниципальном образовании «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с докладом о проделанной работе за 2021 год.</w:t>
      </w:r>
    </w:p>
    <w:p w:rsidR="00005AA8" w:rsidRPr="006C5E40" w:rsidRDefault="00005AA8" w:rsidP="00005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контрольно-счетной комиссии подготовлен отчет о работе контрольно-счетной комиссии за 2021 год. Отчет заслушан на заседании Собрания депутатов 25 арта 2022 года</w:t>
      </w:r>
    </w:p>
    <w:p w:rsidR="00005AA8" w:rsidRPr="006C5E40" w:rsidRDefault="00005AA8" w:rsidP="00005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E4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контрольно-счетной комиссии </w:t>
      </w:r>
      <w:proofErr w:type="spellStart"/>
      <w:r w:rsidRPr="006C5E4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председатель контрольно-счетной комиссии принимала участие в заседаниях Собрания депутатов, в заседаниях планово-бюджетной комиссии Собрания депутатов.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E40">
        <w:rPr>
          <w:rFonts w:ascii="Times New Roman" w:eastAsia="Calibri" w:hAnsi="Times New Roman" w:cs="Times New Roman"/>
          <w:sz w:val="28"/>
          <w:szCs w:val="28"/>
        </w:rPr>
        <w:t>На основании запросов Контрольно-счетной палаты Архангельской области подготовлены и направлены отчеты по показателям деятельности Контрольно-счетной комиссии, кадрового  и финансового обеспечения.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5E40">
        <w:rPr>
          <w:rFonts w:ascii="Times New Roman" w:eastAsia="Calibri" w:hAnsi="Times New Roman" w:cs="Times New Roman"/>
          <w:sz w:val="28"/>
          <w:szCs w:val="28"/>
        </w:rPr>
        <w:t xml:space="preserve">В целях выполнения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информирование осуществляется путем размещения в открытом доступе на официальном сайте администрации </w:t>
      </w:r>
      <w:proofErr w:type="spellStart"/>
      <w:r w:rsidRPr="006C5E40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6C5E40">
        <w:rPr>
          <w:rFonts w:ascii="Times New Roman" w:hAnsi="Times New Roman" w:cs="Times New Roman"/>
        </w:rPr>
        <w:t xml:space="preserve"> </w:t>
      </w:r>
      <w:r w:rsidRPr="006C5E40">
        <w:rPr>
          <w:rFonts w:ascii="Times New Roman" w:eastAsia="Calibri" w:hAnsi="Times New Roman" w:cs="Times New Roman"/>
          <w:sz w:val="28"/>
          <w:szCs w:val="28"/>
        </w:rPr>
        <w:t>http://www.pinezhye.ru/ в разделе «Контрольно-счетная комиссия» опубликование Плана работы контрольно-счетной комиссии, опубликованием годовых отчетов и др.</w:t>
      </w:r>
      <w:proofErr w:type="gramEnd"/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E40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закона «О противодействии коррупции» председателем и инспектором Контрольно-счетной комиссии предоставлены сведения о доходах, имуществе и обязательствах имущественного характера за 2021 год, которые также размещены на сайте администрации </w:t>
      </w:r>
      <w:proofErr w:type="spellStart"/>
      <w:r w:rsidRPr="006C5E40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6C5E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Архангельской области в информационно-телекоммуникационной сети Интернет http://www.pinezhye.ru/.</w:t>
      </w:r>
    </w:p>
    <w:p w:rsidR="00005AA8" w:rsidRPr="006C5E40" w:rsidRDefault="00005AA8" w:rsidP="00005AA8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E40">
        <w:rPr>
          <w:rFonts w:ascii="Times New Roman" w:eastAsia="Calibri" w:hAnsi="Times New Roman" w:cs="Times New Roman"/>
          <w:sz w:val="28"/>
          <w:szCs w:val="28"/>
        </w:rPr>
        <w:t>Контрольно-счетной комиссией, как юридическим лицом, ведется бухгалтерский, налоговый учет, предоставляется месячная, квартальная, годовая отчетность в соответствующие органы. Так же ведется кадровая работа.</w:t>
      </w:r>
    </w:p>
    <w:p w:rsidR="00005AA8" w:rsidRPr="006C5E40" w:rsidRDefault="00005AA8" w:rsidP="00005AA8">
      <w:pPr>
        <w:spacing w:after="0" w:line="240" w:lineRule="auto"/>
        <w:rPr>
          <w:rFonts w:ascii="Times New Roman" w:hAnsi="Times New Roman" w:cs="Times New Roman"/>
        </w:rPr>
      </w:pPr>
    </w:p>
    <w:p w:rsidR="00005AA8" w:rsidRPr="006C5E40" w:rsidRDefault="00005AA8" w:rsidP="00005AA8">
      <w:pPr>
        <w:spacing w:after="0" w:line="240" w:lineRule="auto"/>
        <w:rPr>
          <w:rFonts w:ascii="Times New Roman" w:hAnsi="Times New Roman" w:cs="Times New Roman"/>
        </w:rPr>
      </w:pPr>
    </w:p>
    <w:p w:rsidR="00005AA8" w:rsidRPr="006C5E40" w:rsidRDefault="00005AA8" w:rsidP="00005AA8">
      <w:pPr>
        <w:rPr>
          <w:rFonts w:ascii="Times New Roman" w:hAnsi="Times New Roman" w:cs="Times New Roman"/>
        </w:rPr>
      </w:pPr>
    </w:p>
    <w:p w:rsidR="00AE276C" w:rsidRDefault="00AE276C">
      <w:bookmarkStart w:id="0" w:name="_GoBack"/>
      <w:bookmarkEnd w:id="0"/>
    </w:p>
    <w:sectPr w:rsidR="00AE27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26924"/>
      <w:docPartObj>
        <w:docPartGallery w:val="Page Numbers (Bottom of Page)"/>
        <w:docPartUnique/>
      </w:docPartObj>
    </w:sdtPr>
    <w:sdtEndPr/>
    <w:sdtContent>
      <w:p w:rsidR="001A276E" w:rsidRDefault="00005AA8" w:rsidP="001A276E">
        <w:pPr>
          <w:pStyle w:val="a4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276E" w:rsidRDefault="00005AA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90293"/>
    <w:multiLevelType w:val="hybridMultilevel"/>
    <w:tmpl w:val="C0C28B36"/>
    <w:lvl w:ilvl="0" w:tplc="B8B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A8"/>
    <w:rsid w:val="00005AA8"/>
    <w:rsid w:val="00A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A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5AA8"/>
  </w:style>
  <w:style w:type="paragraph" w:styleId="a6">
    <w:name w:val="Normal (Web)"/>
    <w:basedOn w:val="a"/>
    <w:uiPriority w:val="99"/>
    <w:semiHidden/>
    <w:unhideWhenUsed/>
    <w:rsid w:val="0000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A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5AA8"/>
  </w:style>
  <w:style w:type="paragraph" w:styleId="a6">
    <w:name w:val="Normal (Web)"/>
    <w:basedOn w:val="a"/>
    <w:uiPriority w:val="99"/>
    <w:semiHidden/>
    <w:unhideWhenUsed/>
    <w:rsid w:val="0000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1</cp:revision>
  <dcterms:created xsi:type="dcterms:W3CDTF">2023-05-11T14:03:00Z</dcterms:created>
  <dcterms:modified xsi:type="dcterms:W3CDTF">2023-05-11T14:05:00Z</dcterms:modified>
</cp:coreProperties>
</file>