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A67" w:rsidRDefault="00F55A67" w:rsidP="00F55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55A67" w:rsidRDefault="00F55A67" w:rsidP="00F55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55A67" w:rsidRDefault="00F55A67" w:rsidP="00F55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55A67" w:rsidRDefault="00F55A67" w:rsidP="00F55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F55A67" w:rsidRDefault="00F55A67" w:rsidP="00F55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___________________________Е.П. Абросимова</w:t>
      </w:r>
    </w:p>
    <w:p w:rsidR="00F55A67" w:rsidRDefault="00F55A67" w:rsidP="00F55A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 2022 года</w:t>
      </w:r>
    </w:p>
    <w:p w:rsidR="00F55A67" w:rsidRDefault="00F55A67" w:rsidP="00F5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5A67" w:rsidRPr="00EE11AC" w:rsidRDefault="00F55A67" w:rsidP="00F5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E11A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E11AC">
        <w:rPr>
          <w:rFonts w:ascii="Times New Roman" w:hAnsi="Times New Roman" w:cs="Times New Roman"/>
          <w:sz w:val="28"/>
          <w:szCs w:val="28"/>
        </w:rPr>
        <w:t xml:space="preserve"> Л А Н</w:t>
      </w:r>
    </w:p>
    <w:p w:rsidR="00F55A67" w:rsidRPr="00EE11AC" w:rsidRDefault="00F55A67" w:rsidP="00F5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1AC">
        <w:rPr>
          <w:rFonts w:ascii="Times New Roman" w:hAnsi="Times New Roman" w:cs="Times New Roman"/>
          <w:sz w:val="28"/>
          <w:szCs w:val="28"/>
        </w:rPr>
        <w:t xml:space="preserve">работы Контрольно-счетной комиссии </w:t>
      </w:r>
    </w:p>
    <w:p w:rsidR="00F55A67" w:rsidRDefault="00F55A67" w:rsidP="00F5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E11A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E11A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F55A67" w:rsidRPr="00EE11AC" w:rsidRDefault="00F55A67" w:rsidP="00F55A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1AC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E11A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55A67" w:rsidRPr="00090349" w:rsidRDefault="00F55A67" w:rsidP="00F55A67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3"/>
        <w:gridCol w:w="72"/>
        <w:gridCol w:w="4582"/>
        <w:gridCol w:w="1811"/>
        <w:gridCol w:w="16"/>
        <w:gridCol w:w="2337"/>
      </w:tblGrid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Примечание/ основание для включения мероприятия в план </w:t>
            </w:r>
          </w:p>
        </w:tc>
      </w:tr>
      <w:tr w:rsidR="00F55A67" w:rsidRPr="003046FD" w:rsidTr="003872FA">
        <w:tc>
          <w:tcPr>
            <w:tcW w:w="0" w:type="auto"/>
            <w:gridSpan w:val="6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>1. Экспертно-аналитические мероприятия</w:t>
            </w:r>
          </w:p>
        </w:tc>
      </w:tr>
      <w:tr w:rsidR="00F55A67" w:rsidRPr="003046FD" w:rsidTr="003872FA">
        <w:tc>
          <w:tcPr>
            <w:tcW w:w="9571" w:type="dxa"/>
            <w:gridSpan w:val="6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</w:tr>
      <w:tr w:rsidR="00F55A67" w:rsidRPr="003046FD" w:rsidTr="003872FA">
        <w:tc>
          <w:tcPr>
            <w:tcW w:w="753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654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Собрания депутатов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 «О внесении изменений и дополнений в решение Собрания депутатов </w:t>
            </w:r>
          </w:p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«О бюджете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2023 год и на плановый период 2024 и 2025 годов»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п.2,7 ч.2 ст. 9 Закона 6-ФЗ, </w:t>
            </w:r>
          </w:p>
        </w:tc>
      </w:tr>
      <w:tr w:rsidR="00F55A67" w:rsidRPr="003046FD" w:rsidTr="003872FA">
        <w:tc>
          <w:tcPr>
            <w:tcW w:w="753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654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нормативных правовых актов регулирующих бюджетные правоотношения 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поступления в КСК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ч.2 ст. 157 БК РФ</w:t>
            </w:r>
          </w:p>
        </w:tc>
      </w:tr>
      <w:tr w:rsidR="00F55A67" w:rsidRPr="003046FD" w:rsidTr="003872FA">
        <w:tc>
          <w:tcPr>
            <w:tcW w:w="753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654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Финансово-экономическая экспертиза проектов муниципальных правовых  актов (включая обоснованность финансово-экономических обоснований) в части, касающейся расходных обязательств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поступления в КСК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п.7 ч.2 ст. 9 Закона 6-ФЗ, </w:t>
            </w:r>
          </w:p>
        </w:tc>
      </w:tr>
      <w:tr w:rsidR="00F55A67" w:rsidRPr="003046FD" w:rsidTr="003872FA">
        <w:tc>
          <w:tcPr>
            <w:tcW w:w="753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654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Собрания депутатов, приводящих к изменению доходов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поступления в КСК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П.7 ст. 9 Закон 6-ФЗ</w:t>
            </w:r>
          </w:p>
        </w:tc>
      </w:tr>
      <w:tr w:rsidR="00F55A67" w:rsidRPr="003046FD" w:rsidTr="003872FA">
        <w:tc>
          <w:tcPr>
            <w:tcW w:w="753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54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оперативного анализа исполнения и 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исполнения бюджета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Ежеквартально (1 квартал, 1 полугодие, 9 месяцев)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П.2 ч. 2 ст.9 закона 6-ФЗ, Положение о КСК</w:t>
            </w:r>
          </w:p>
        </w:tc>
      </w:tr>
      <w:tr w:rsidR="00F55A67" w:rsidRPr="003046FD" w:rsidTr="003872FA">
        <w:tc>
          <w:tcPr>
            <w:tcW w:w="753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654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и мониторинга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ч.2 ст.157 БК РФ п.8 ч.2 ст.9 Закона 6-ФЗ</w:t>
            </w:r>
          </w:p>
        </w:tc>
      </w:tr>
      <w:tr w:rsidR="00F55A67" w:rsidRPr="003046FD" w:rsidTr="003872FA">
        <w:tc>
          <w:tcPr>
            <w:tcW w:w="753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654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муниципальных программ (проектов муниципальных программ)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п.7 ч.2 ст. 9 Закона 6-ФЗ, ч.2 ст. 157 БК РФ</w:t>
            </w:r>
          </w:p>
        </w:tc>
      </w:tr>
      <w:tr w:rsidR="00F55A67" w:rsidRPr="003046FD" w:rsidTr="003872FA">
        <w:tc>
          <w:tcPr>
            <w:tcW w:w="753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654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на проект решения Собрания депутатов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«О  бюджете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2024 год и плановый период 2025 и 2026 годов»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ноябр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п.2 ч.2 ст. 9 Закона 6-ФЗ, ч.1 ст. 157 БК РФ</w:t>
            </w:r>
          </w:p>
        </w:tc>
      </w:tr>
      <w:tr w:rsidR="00F55A67" w:rsidRPr="003046FD" w:rsidTr="003872FA">
        <w:tc>
          <w:tcPr>
            <w:tcW w:w="9571" w:type="dxa"/>
            <w:gridSpan w:val="6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04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(в рамках заключенных соглашений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МО поселений</w:t>
            </w: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55A67" w:rsidRPr="003046FD" w:rsidTr="003872FA">
        <w:tc>
          <w:tcPr>
            <w:tcW w:w="825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«О местном бюджете на 2024 год»  бюджетов муниципальных образований поселений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(в соответствии с заключенными Соглашениями)</w:t>
            </w:r>
          </w:p>
        </w:tc>
        <w:tc>
          <w:tcPr>
            <w:tcW w:w="1811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2353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п.2 ч.2 ст. 9 Закона 6-ФЗ, ч.1 ст. 157 БК РФ</w:t>
            </w:r>
          </w:p>
        </w:tc>
      </w:tr>
      <w:tr w:rsidR="00F55A67" w:rsidRPr="003046FD" w:rsidTr="003872FA">
        <w:tc>
          <w:tcPr>
            <w:tcW w:w="825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по внесению изменений в решение «О местном бюджете на 2023 год» муниципальных образований поселений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района (в соответствии с заключенными Соглашениями)</w:t>
            </w:r>
          </w:p>
        </w:tc>
        <w:tc>
          <w:tcPr>
            <w:tcW w:w="1811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2353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2 ч.2 ст. 9 Закона 6-ФЗ, ч.1 ст. 157 БК РФ</w:t>
            </w:r>
          </w:p>
        </w:tc>
      </w:tr>
      <w:tr w:rsidR="00F55A67" w:rsidRPr="003046FD" w:rsidTr="003872FA">
        <w:tc>
          <w:tcPr>
            <w:tcW w:w="825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экспертиза муниципальных программ (проектов муниципальных программ) муниципальных образований поселений</w:t>
            </w:r>
          </w:p>
        </w:tc>
        <w:tc>
          <w:tcPr>
            <w:tcW w:w="1811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обращения</w:t>
            </w:r>
          </w:p>
        </w:tc>
        <w:tc>
          <w:tcPr>
            <w:tcW w:w="2353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п.7 ч.2 ст. 9 Закона 6-ФЗ, ч.2 ст. 157 БК РФ</w:t>
            </w:r>
          </w:p>
        </w:tc>
      </w:tr>
      <w:tr w:rsidR="00F55A67" w:rsidRPr="003046FD" w:rsidTr="003872FA">
        <w:tc>
          <w:tcPr>
            <w:tcW w:w="0" w:type="auto"/>
            <w:gridSpan w:val="6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>2. Контрольные мероприятия</w:t>
            </w:r>
          </w:p>
        </w:tc>
      </w:tr>
      <w:tr w:rsidR="00F55A67" w:rsidRPr="003046FD" w:rsidTr="003872FA">
        <w:tc>
          <w:tcPr>
            <w:tcW w:w="0" w:type="auto"/>
            <w:gridSpan w:val="6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04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бюджета за 2022 год  и плановый период 2023 и 2024 годов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достоверности, полноты и соответствия нормативным требованиям составления и представления бюджетной отчетности главных администраторов бюджетных средств и исполнение бюджетных полномочий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ст. 264.4 БК РФ, ст. 268.1 БК РФ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Осуществление аудита в сфере закупок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БК РФ, Закон 44-ФЗ ст.98ч.1, Закон 6-ФЗ, Положение о Контрольно 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исполнения расходов в рамках </w:t>
            </w:r>
            <w:r w:rsidRPr="0030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программ за 2022 год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Pr="0030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Контрольно-счетной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Проверка реализации ранее направленных представлений и предписаний Контрольно-счетной комиссии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A67" w:rsidRPr="003046FD" w:rsidTr="003872FA">
        <w:tc>
          <w:tcPr>
            <w:tcW w:w="9571" w:type="dxa"/>
            <w:gridSpan w:val="6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3046F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рамках заключенных соглашения с МО поселений)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в соответствии с заключенными Соглашениями годовых отчетов об исполнении бюджета за 2022 год и подготовка заключений на годовой отчет об исполнении бюджета поселений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2022 год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ст. 264.4 БК РФ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Поверка достоверности, полноты и соответствия нормативным требованиям составления и предоставления бюджетной отчетности муниципальных образований поселений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заключенными соглашениями</w:t>
            </w:r>
          </w:p>
        </w:tc>
      </w:tr>
      <w:tr w:rsidR="00F55A67" w:rsidRPr="003046FD" w:rsidTr="003872FA">
        <w:tc>
          <w:tcPr>
            <w:tcW w:w="0" w:type="auto"/>
            <w:gridSpan w:val="6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>3. Информационная и организационная деятельность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 работе Контрольно-счетной комиссии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и направление его в Собрание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комиссии, ст. 19 Закона 6-ФЗ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Участие в семинарах и рабочих встречах по вопросам финансового контроля, конференциях контрольно-счетных органов Архангельской области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онтрольно – счетной комиссии</w:t>
            </w:r>
          </w:p>
        </w:tc>
      </w:tr>
      <w:tr w:rsidR="00F55A67" w:rsidRPr="003046FD" w:rsidTr="003872FA">
        <w:trPr>
          <w:trHeight w:val="770"/>
        </w:trPr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информации по запросам Контрольно-счетной палаты Архангельской области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с целью обмена информацией с органами финансового контроля, а также в соответствии с заключенными Контрольно-счетной комиссией соглашениях о взаимодействии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Собрания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, постоянных депутатских комиссий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совещаниях, проводимых Главой МО «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Пинежский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район» и его заместителями (по приглашению)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направленных Контрольно-счетной комиссией представлений по результатам проведенных мероприятий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Подготовка, утверждение и размещение на официальном сайте в сети интернет Плана работы Контрольно-счетной комиссии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до 30 декабря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ст.12 Закона 6-ФЗ, Положение о Контрольно-счетной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3.9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стандартов внешнего муниципального финансового контроля  и других документов, регламентирующих деятельность Контрольно-счетной комиссии </w:t>
            </w:r>
            <w:proofErr w:type="spell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соответствии с требованиями Федерального закона от 0702.2011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Изучение законодательных и нормативных актов, ведомственных и инструктивных материалов для выполнения контрольной и экспертно-аналитической работы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Контрольно-счетной комиссии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Закон № 59-ФЗ от 02.05.2006</w:t>
            </w:r>
          </w:p>
        </w:tc>
      </w:tr>
      <w:tr w:rsidR="00F55A67" w:rsidRPr="003046FD" w:rsidTr="003872FA">
        <w:tc>
          <w:tcPr>
            <w:tcW w:w="0" w:type="auto"/>
            <w:gridSpan w:val="6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>4. Участие в мероприятиях, направленных на противодействие коррупции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противодействие коррупции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п.10 ч.2 ст. 9 ФЗ № 6-ФЗ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правоохранительными, налоговыми и надзорными органами при осуществлении своей деятельности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Федеральный закон № 6-ФЗ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представлением сотрудниками Контрольно-счетной комиссии сведений о доходах, расходах, об имуществе и обязательствах имущественного характера за 2020 год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январь-апрель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Антикоррупционное законодательство</w:t>
            </w:r>
          </w:p>
        </w:tc>
      </w:tr>
      <w:tr w:rsidR="00F55A67" w:rsidRPr="003046FD" w:rsidTr="003872FA">
        <w:tc>
          <w:tcPr>
            <w:tcW w:w="0" w:type="auto"/>
            <w:gridSpan w:val="6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b/>
                <w:sz w:val="24"/>
                <w:szCs w:val="24"/>
              </w:rPr>
              <w:t>5. Финансовое, материальное и кадровое обеспечение деятельности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Организация, составление, ведение, исполнение бюджетной сметы расходов Контрольно-счетной комиссии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ст. 161 БК РФ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Составление и предоставление в установленные сроки бюджетной, налоговой и статистической отчетности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ст. 264.1, 264.2 БК РФ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 и услуг для нужд Контрольно-счетной комиссии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закон 44-ФЗ, ст. 72 БК РФ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соответствии с действующим законодательством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профессионального развития, подготовки, переподготовки и повышения квалификации сотрудников Контрольно-счетной комиссии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</w:t>
            </w:r>
            <w:proofErr w:type="gramStart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 счетной комиссии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Разработка номенклатуры дел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 работы архивов </w:t>
            </w:r>
            <w:r w:rsidRPr="0030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</w:t>
            </w:r>
          </w:p>
        </w:tc>
      </w:tr>
      <w:tr w:rsidR="00F55A67" w:rsidRPr="003046FD" w:rsidTr="003872FA">
        <w:tc>
          <w:tcPr>
            <w:tcW w:w="0" w:type="auto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582" w:type="dxa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</w:t>
            </w:r>
          </w:p>
        </w:tc>
        <w:tc>
          <w:tcPr>
            <w:tcW w:w="1827" w:type="dxa"/>
            <w:gridSpan w:val="2"/>
          </w:tcPr>
          <w:p w:rsidR="00F55A67" w:rsidRPr="003046FD" w:rsidRDefault="00F55A67" w:rsidP="0038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F55A67" w:rsidRPr="003046FD" w:rsidRDefault="00F55A67" w:rsidP="00387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6FD">
              <w:rPr>
                <w:rFonts w:ascii="Times New Roman" w:hAnsi="Times New Roman" w:cs="Times New Roman"/>
                <w:sz w:val="24"/>
                <w:szCs w:val="24"/>
              </w:rPr>
              <w:t>ст. 11 Закона 402-ФЗ</w:t>
            </w:r>
          </w:p>
        </w:tc>
      </w:tr>
    </w:tbl>
    <w:p w:rsidR="00F55A67" w:rsidRDefault="00F55A67" w:rsidP="00F55A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55A67" w:rsidRDefault="00F55A67" w:rsidP="00F55A6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244F6" w:rsidRDefault="008244F6"/>
    <w:sectPr w:rsidR="0082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67"/>
    <w:rsid w:val="008244F6"/>
    <w:rsid w:val="00F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67"/>
    <w:pPr>
      <w:ind w:left="720"/>
      <w:contextualSpacing/>
    </w:pPr>
  </w:style>
  <w:style w:type="table" w:styleId="a4">
    <w:name w:val="Table Grid"/>
    <w:basedOn w:val="a1"/>
    <w:uiPriority w:val="59"/>
    <w:rsid w:val="00F5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A67"/>
    <w:pPr>
      <w:ind w:left="720"/>
      <w:contextualSpacing/>
    </w:pPr>
  </w:style>
  <w:style w:type="table" w:styleId="a4">
    <w:name w:val="Table Grid"/>
    <w:basedOn w:val="a1"/>
    <w:uiPriority w:val="59"/>
    <w:rsid w:val="00F55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Павловна Абросимова</dc:creator>
  <cp:lastModifiedBy>Елена Павловна Абросимова</cp:lastModifiedBy>
  <cp:revision>1</cp:revision>
  <dcterms:created xsi:type="dcterms:W3CDTF">2023-01-12T12:16:00Z</dcterms:created>
  <dcterms:modified xsi:type="dcterms:W3CDTF">2023-01-12T12:17:00Z</dcterms:modified>
</cp:coreProperties>
</file>