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48301" w14:textId="77777777" w:rsidR="008E043A" w:rsidRPr="008E043A" w:rsidRDefault="008E043A" w:rsidP="008E043A">
      <w:pPr>
        <w:pStyle w:val="af4"/>
      </w:pPr>
      <w:r w:rsidRPr="008E043A">
        <w:t>АДМИНИСТРАЦИЯ МУНИЦИПАЛЬНОГО ОБРАЗОВАНИЯ</w:t>
      </w:r>
    </w:p>
    <w:p w14:paraId="79D2BF5C" w14:textId="77777777" w:rsidR="008E043A" w:rsidRPr="008E043A" w:rsidRDefault="008E043A" w:rsidP="008E043A">
      <w:pPr>
        <w:pStyle w:val="af4"/>
        <w:rPr>
          <w:bCs/>
        </w:rPr>
      </w:pPr>
      <w:r w:rsidRPr="008E043A">
        <w:t xml:space="preserve"> «ПИНЕЖСКИЙ МУНИЦИПАЛЬНЫЙ РАЙОН»</w:t>
      </w:r>
    </w:p>
    <w:p w14:paraId="25043252" w14:textId="77777777" w:rsidR="008E043A" w:rsidRPr="008E043A" w:rsidRDefault="008E043A" w:rsidP="008E043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3A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2D0B3E0B" w14:textId="77777777" w:rsidR="008E043A" w:rsidRPr="008E043A" w:rsidRDefault="008E043A" w:rsidP="008E043A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23580610" w14:textId="77777777" w:rsidR="008E043A" w:rsidRPr="008E043A" w:rsidRDefault="008E043A" w:rsidP="008E043A">
      <w:pPr>
        <w:pStyle w:val="af6"/>
        <w:jc w:val="left"/>
        <w:rPr>
          <w:szCs w:val="28"/>
        </w:rPr>
      </w:pPr>
    </w:p>
    <w:p w14:paraId="02ED5408" w14:textId="77777777" w:rsidR="008E043A" w:rsidRPr="008E043A" w:rsidRDefault="008E043A" w:rsidP="008E043A">
      <w:pPr>
        <w:pStyle w:val="af6"/>
        <w:jc w:val="left"/>
        <w:rPr>
          <w:szCs w:val="28"/>
        </w:rPr>
      </w:pPr>
    </w:p>
    <w:p w14:paraId="65BD5D91" w14:textId="77777777" w:rsidR="008E043A" w:rsidRPr="008E043A" w:rsidRDefault="008E043A" w:rsidP="008E043A">
      <w:pPr>
        <w:pStyle w:val="af6"/>
        <w:rPr>
          <w:szCs w:val="28"/>
        </w:rPr>
      </w:pPr>
      <w:proofErr w:type="gramStart"/>
      <w:r w:rsidRPr="008E043A">
        <w:rPr>
          <w:szCs w:val="28"/>
        </w:rPr>
        <w:t>П</w:t>
      </w:r>
      <w:proofErr w:type="gramEnd"/>
      <w:r w:rsidRPr="008E043A">
        <w:rPr>
          <w:szCs w:val="28"/>
        </w:rPr>
        <w:t xml:space="preserve"> О С Т А Н О В Л Е Н И Е</w:t>
      </w:r>
    </w:p>
    <w:p w14:paraId="2CBB7964" w14:textId="77777777" w:rsidR="008E043A" w:rsidRPr="008E043A" w:rsidRDefault="008E043A" w:rsidP="008E043A">
      <w:pPr>
        <w:jc w:val="center"/>
        <w:rPr>
          <w:rFonts w:ascii="Times New Roman" w:hAnsi="Times New Roman" w:cs="Times New Roman"/>
          <w:b/>
          <w:bCs/>
        </w:rPr>
      </w:pPr>
    </w:p>
    <w:p w14:paraId="2F2CC985" w14:textId="77777777" w:rsidR="008E043A" w:rsidRPr="008E043A" w:rsidRDefault="008E043A" w:rsidP="008E043A">
      <w:pPr>
        <w:jc w:val="center"/>
        <w:rPr>
          <w:rFonts w:ascii="Times New Roman" w:hAnsi="Times New Roman" w:cs="Times New Roman"/>
          <w:b/>
          <w:bCs/>
        </w:rPr>
      </w:pPr>
    </w:p>
    <w:p w14:paraId="643BC523" w14:textId="07D3CD9C" w:rsidR="008E043A" w:rsidRPr="008E043A" w:rsidRDefault="007E411B" w:rsidP="008E04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    </w:t>
      </w:r>
      <w:r w:rsidR="008E043A" w:rsidRPr="008E043A">
        <w:rPr>
          <w:rFonts w:ascii="Times New Roman" w:hAnsi="Times New Roman" w:cs="Times New Roman"/>
        </w:rPr>
        <w:t xml:space="preserve">   202</w:t>
      </w:r>
      <w:r w:rsidR="00EE40A9">
        <w:rPr>
          <w:rFonts w:ascii="Times New Roman" w:hAnsi="Times New Roman" w:cs="Times New Roman"/>
        </w:rPr>
        <w:t>2</w:t>
      </w:r>
      <w:r w:rsidR="008E043A" w:rsidRPr="008E043A">
        <w:rPr>
          <w:rFonts w:ascii="Times New Roman" w:hAnsi="Times New Roman" w:cs="Times New Roman"/>
        </w:rPr>
        <w:t xml:space="preserve"> г.  № </w:t>
      </w:r>
    </w:p>
    <w:p w14:paraId="6406B70A" w14:textId="77777777" w:rsidR="008E043A" w:rsidRPr="008E043A" w:rsidRDefault="008E043A" w:rsidP="008E043A">
      <w:pPr>
        <w:jc w:val="center"/>
        <w:rPr>
          <w:rFonts w:ascii="Times New Roman" w:hAnsi="Times New Roman" w:cs="Times New Roman"/>
        </w:rPr>
      </w:pPr>
    </w:p>
    <w:p w14:paraId="70A8E6FA" w14:textId="77777777" w:rsidR="008E043A" w:rsidRPr="008E043A" w:rsidRDefault="008E043A" w:rsidP="008E043A">
      <w:pPr>
        <w:jc w:val="center"/>
        <w:rPr>
          <w:rFonts w:ascii="Times New Roman" w:hAnsi="Times New Roman" w:cs="Times New Roman"/>
        </w:rPr>
      </w:pPr>
    </w:p>
    <w:p w14:paraId="1AB1F7B0" w14:textId="77777777" w:rsidR="008E043A" w:rsidRPr="008E043A" w:rsidRDefault="008E043A" w:rsidP="008E043A">
      <w:pPr>
        <w:jc w:val="center"/>
        <w:rPr>
          <w:rFonts w:ascii="Times New Roman" w:hAnsi="Times New Roman" w:cs="Times New Roman"/>
          <w:b/>
        </w:rPr>
      </w:pPr>
      <w:r w:rsidRPr="008E043A">
        <w:rPr>
          <w:rFonts w:ascii="Times New Roman" w:hAnsi="Times New Roman" w:cs="Times New Roman"/>
        </w:rPr>
        <w:t>с. Карпогоры</w:t>
      </w:r>
    </w:p>
    <w:p w14:paraId="1ABA4C3A" w14:textId="77777777" w:rsidR="00394317" w:rsidRP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0B0843" w14:textId="14B5A020" w:rsidR="00394317" w:rsidRPr="00394317" w:rsidRDefault="00394317" w:rsidP="0039431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общеобразова</w:t>
      </w:r>
      <w:r w:rsidR="007E411B">
        <w:rPr>
          <w:rFonts w:ascii="Times New Roman" w:hAnsi="Times New Roman" w:cs="Times New Roman"/>
          <w:b/>
          <w:bCs/>
          <w:sz w:val="28"/>
          <w:szCs w:val="28"/>
        </w:rPr>
        <w:t>тельных общеразвивающих программ</w:t>
      </w:r>
    </w:p>
    <w:p w14:paraId="5A48DF36" w14:textId="39D95866" w:rsidR="00394317" w:rsidRPr="00394317" w:rsidRDefault="00394317" w:rsidP="00394317">
      <w:pPr>
        <w:widowControl/>
        <w:shd w:val="clear" w:color="auto" w:fill="FFFFFF"/>
        <w:autoSpaceDE/>
        <w:autoSpaceDN/>
        <w:adjustRightInd/>
        <w:spacing w:before="375" w:after="225" w:line="360" w:lineRule="auto"/>
        <w:ind w:firstLine="0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 w:rsidR="00641915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C46A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3394F" w:rsidRPr="0083394F">
        <w:rPr>
          <w:rFonts w:ascii="Times New Roman" w:hAnsi="Times New Roman" w:cs="Times New Roman"/>
          <w:sz w:val="28"/>
          <w:szCs w:val="28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</w:t>
      </w:r>
      <w:proofErr w:type="gramEnd"/>
      <w:r w:rsidR="0083394F" w:rsidRPr="00833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94F" w:rsidRPr="0083394F">
        <w:rPr>
          <w:rFonts w:ascii="Times New Roman" w:hAnsi="Times New Roman" w:cs="Times New Roman"/>
          <w:sz w:val="28"/>
          <w:szCs w:val="28"/>
        </w:rPr>
        <w:t xml:space="preserve">субсидии на финансовое обеспечение выполнения государственного (муниципального) задания на оказание государственных (муниципальных) услуг </w:t>
      </w:r>
      <w:r w:rsidR="0083394F" w:rsidRPr="002A4B57">
        <w:rPr>
          <w:rFonts w:ascii="Times New Roman" w:hAnsi="Times New Roman" w:cs="Times New Roman"/>
          <w:sz w:val="28"/>
          <w:szCs w:val="28"/>
        </w:rPr>
        <w:t>(выполнение работ) государственным (муниципальным) учреждением»</w:t>
      </w:r>
      <w:r w:rsidR="00C46A93" w:rsidRPr="002A4B57">
        <w:rPr>
          <w:rFonts w:ascii="Times New Roman" w:hAnsi="Times New Roman" w:cs="Times New Roman"/>
          <w:sz w:val="28"/>
          <w:szCs w:val="28"/>
        </w:rPr>
        <w:t xml:space="preserve">, </w:t>
      </w:r>
      <w:r w:rsidR="00C46A93" w:rsidRPr="002A4B5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7E41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46A93" w:rsidRPr="002A4B5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</w:t>
      </w:r>
      <w:r w:rsidR="008E043A" w:rsidRPr="002A4B5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E411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E043A" w:rsidRPr="002A4B57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="008E043A" w:rsidRPr="002A4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43A" w:rsidRPr="002A4B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муниципальный район» Архангельской области </w:t>
      </w:r>
      <w:r w:rsidR="00ED0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B57" w:rsidRPr="002A4B57">
        <w:rPr>
          <w:rFonts w:ascii="Times New Roman" w:hAnsi="Times New Roman" w:cs="Times New Roman"/>
          <w:color w:val="000000"/>
          <w:sz w:val="28"/>
          <w:szCs w:val="28"/>
        </w:rPr>
        <w:t>от 14 июля 2020г № 0521-па</w:t>
      </w:r>
      <w:r w:rsidR="002A4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6A93" w:rsidRPr="002A4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D42" w:rsidRPr="00E4375C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персонифицированного финансирования дополнительного образования детей в муниципальном образовании «</w:t>
      </w:r>
      <w:proofErr w:type="spellStart"/>
      <w:r w:rsidR="00ED0D42" w:rsidRPr="00E4375C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="00ED0D42" w:rsidRPr="00E4375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Архангельской области</w:t>
      </w:r>
      <w:r w:rsidR="00357654" w:rsidRPr="002A4B57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2A4B57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муниципального образования</w:t>
      </w:r>
      <w:r w:rsidR="00081ED6" w:rsidRPr="002A4B5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081ED6" w:rsidRPr="002A4B57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="00081ED6" w:rsidRPr="002A4B5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район», принятого решением Собрания депутатов</w:t>
      </w:r>
      <w:r w:rsidR="00081ED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 w:rsidR="00081ED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</w:t>
      </w:r>
      <w:proofErr w:type="spellStart"/>
      <w:r w:rsidR="00081ED6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="00081ED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</w:t>
      </w:r>
      <w:r w:rsidR="007E411B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="00081ED6">
        <w:rPr>
          <w:rFonts w:ascii="Times New Roman" w:hAnsi="Times New Roman" w:cs="Times New Roman"/>
          <w:color w:val="000000"/>
          <w:sz w:val="28"/>
          <w:szCs w:val="28"/>
        </w:rPr>
        <w:t xml:space="preserve"> от 04 декабря 2015 года № 455,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Pr="00081ED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14156D5C" w14:textId="4DE34ECF" w:rsidR="00394317" w:rsidRPr="00394317" w:rsidRDefault="00394317" w:rsidP="00394317">
      <w:pPr>
        <w:pStyle w:val="a9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394317">
        <w:rPr>
          <w:rFonts w:ascii="Times New Roman" w:hAnsi="Times New Roman" w:cs="Times New Roman"/>
          <w:bCs/>
          <w:sz w:val="28"/>
          <w:szCs w:val="28"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4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2862C415" w14:textId="0D9EC6D4" w:rsidR="00394317" w:rsidRPr="00394317" w:rsidRDefault="00394317" w:rsidP="00394317">
      <w:pPr>
        <w:pStyle w:val="a9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4317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</w:t>
      </w:r>
      <w:r w:rsidR="00CD1916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 w:rsidR="00CD1916">
        <w:rPr>
          <w:rFonts w:ascii="Times New Roman" w:hAnsi="Times New Roman" w:cs="Times New Roman"/>
          <w:color w:val="000000"/>
          <w:sz w:val="28"/>
          <w:szCs w:val="28"/>
        </w:rPr>
        <w:t>Пинежский</w:t>
      </w:r>
      <w:proofErr w:type="spellEnd"/>
      <w:r w:rsidR="00CD1916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2753AAED" w14:textId="101F06BB" w:rsidR="00394317" w:rsidRDefault="007E411B" w:rsidP="007E411B">
      <w:pPr>
        <w:pStyle w:val="a9"/>
        <w:widowControl/>
        <w:tabs>
          <w:tab w:val="left" w:pos="426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 </w:t>
      </w:r>
      <w:proofErr w:type="gramStart"/>
      <w:r w:rsidR="00394317" w:rsidRPr="00CD1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4317" w:rsidRPr="00CD19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D59F1">
        <w:rPr>
          <w:rFonts w:ascii="Times New Roman" w:hAnsi="Times New Roman" w:cs="Times New Roman"/>
          <w:sz w:val="28"/>
          <w:szCs w:val="28"/>
        </w:rPr>
        <w:t>з</w:t>
      </w:r>
      <w:r w:rsidR="00394317" w:rsidRPr="00CD1916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4317" w:rsidRPr="00CD191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1916" w:rsidRPr="00CD191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D1916" w:rsidRPr="00CD191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CD1916" w:rsidRPr="00CD191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94317" w:rsidRPr="00CD1916">
        <w:rPr>
          <w:rFonts w:ascii="Times New Roman" w:hAnsi="Times New Roman" w:cs="Times New Roman"/>
          <w:sz w:val="28"/>
          <w:szCs w:val="28"/>
        </w:rPr>
        <w:t xml:space="preserve">по социальной </w:t>
      </w:r>
      <w:r w:rsidR="00CD1916" w:rsidRPr="00CD1916">
        <w:rPr>
          <w:rFonts w:ascii="Times New Roman" w:hAnsi="Times New Roman" w:cs="Times New Roman"/>
          <w:sz w:val="28"/>
          <w:szCs w:val="28"/>
        </w:rPr>
        <w:t xml:space="preserve">политике </w:t>
      </w:r>
      <w:proofErr w:type="spellStart"/>
      <w:r w:rsidR="00CD1916" w:rsidRPr="00CD1916">
        <w:rPr>
          <w:rFonts w:ascii="Times New Roman" w:hAnsi="Times New Roman" w:cs="Times New Roman"/>
          <w:sz w:val="28"/>
          <w:szCs w:val="28"/>
        </w:rPr>
        <w:t>Выучейскую</w:t>
      </w:r>
      <w:proofErr w:type="spellEnd"/>
      <w:r w:rsidR="00CD1916" w:rsidRPr="00CD1916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5640B90B" w14:textId="46D94DFB" w:rsidR="00B44B6C" w:rsidRPr="00B44B6C" w:rsidRDefault="00B44B6C" w:rsidP="00B44B6C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44B6C">
        <w:rPr>
          <w:rFonts w:ascii="Times New Roman" w:hAnsi="Times New Roman" w:cs="Times New Roman"/>
          <w:sz w:val="28"/>
          <w:szCs w:val="28"/>
        </w:rPr>
        <w:t>4. Настоящее  постановление вступает в законную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опубликования </w:t>
      </w:r>
      <w:r w:rsidRPr="00B44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 свои действия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Pr="00B44B6C">
        <w:rPr>
          <w:rFonts w:ascii="Times New Roman" w:hAnsi="Times New Roman" w:cs="Times New Roman"/>
          <w:sz w:val="28"/>
          <w:szCs w:val="28"/>
        </w:rPr>
        <w:t>01 января 2022 года.</w:t>
      </w:r>
    </w:p>
    <w:p w14:paraId="0C07B164" w14:textId="77777777" w:rsidR="00B44B6C" w:rsidRPr="00B44B6C" w:rsidRDefault="00B44B6C" w:rsidP="00B44B6C">
      <w:pPr>
        <w:pStyle w:val="af8"/>
        <w:spacing w:line="360" w:lineRule="auto"/>
        <w:rPr>
          <w:sz w:val="28"/>
          <w:szCs w:val="28"/>
        </w:rPr>
      </w:pPr>
    </w:p>
    <w:p w14:paraId="57CA4EBC" w14:textId="77777777" w:rsidR="00CD1916" w:rsidRDefault="00CD1916" w:rsidP="00CD1916">
      <w:pPr>
        <w:pStyle w:val="a9"/>
        <w:widowControl/>
        <w:tabs>
          <w:tab w:val="left" w:pos="426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6455496" w14:textId="77777777" w:rsidR="00CD1916" w:rsidRDefault="00CD1916" w:rsidP="00CD1916">
      <w:pPr>
        <w:pStyle w:val="a9"/>
        <w:widowControl/>
        <w:tabs>
          <w:tab w:val="left" w:pos="426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CAD3FD" w14:textId="77777777" w:rsidR="00CD1916" w:rsidRPr="00CD1916" w:rsidRDefault="00CD1916" w:rsidP="00CD1916">
      <w:pPr>
        <w:pStyle w:val="a9"/>
        <w:widowControl/>
        <w:tabs>
          <w:tab w:val="left" w:pos="426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FD11DB0" w14:textId="77777777" w:rsidR="00394317" w:rsidRPr="00394317" w:rsidRDefault="00394317" w:rsidP="00394317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D80B34C" w14:textId="77777777" w:rsidR="00A85E3D" w:rsidRDefault="00A85E3D" w:rsidP="00A85E3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А.С. Чечулин</w:t>
      </w:r>
    </w:p>
    <w:p w14:paraId="2B100A52" w14:textId="77777777" w:rsid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szCs w:val="28"/>
        </w:rPr>
      </w:pPr>
    </w:p>
    <w:p w14:paraId="1FB55206" w14:textId="77777777" w:rsidR="00B44B6C" w:rsidRPr="00394317" w:rsidRDefault="00B44B6C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6BF256" w14:textId="77777777" w:rsidR="00394317" w:rsidRDefault="00394317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F0A51" w14:textId="474C8943" w:rsidR="002D5A4A" w:rsidRPr="009E3488" w:rsidRDefault="00AB3308" w:rsidP="009E34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417E3"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b/>
          <w:bCs/>
          <w:sz w:val="28"/>
          <w:szCs w:val="28"/>
        </w:rPr>
        <w:t>услуг по реализации дополнительных общеобразовательных общеразвивающих программ</w:t>
      </w:r>
    </w:p>
    <w:p w14:paraId="224BCD7F" w14:textId="77777777" w:rsidR="00AB3308" w:rsidRPr="009E3488" w:rsidRDefault="00AB3308" w:rsidP="009E348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175595" w14:textId="36719289" w:rsidR="00AB3308" w:rsidRPr="009E3488" w:rsidRDefault="00AB3308" w:rsidP="00DD7A3C">
      <w:pPr>
        <w:widowControl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73B03CF" w14:textId="371AF473" w:rsidR="00AB3308" w:rsidRPr="009E3488" w:rsidRDefault="00AB3308" w:rsidP="009E3488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14:paraId="7E0DC508" w14:textId="79EA99E9" w:rsidR="00AB3308" w:rsidRPr="002356E2" w:rsidRDefault="001643F2" w:rsidP="009E3488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</w:t>
      </w:r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образования администрации МО «</w:t>
      </w:r>
      <w:proofErr w:type="spellStart"/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>Пинежский</w:t>
      </w:r>
      <w:proofErr w:type="spellEnd"/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(далее </w:t>
      </w:r>
      <w:r w:rsidR="00A93D6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916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A93D6A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</w:t>
      </w:r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>ет функцию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учредителя </w:t>
      </w:r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ДО </w:t>
      </w:r>
      <w:r w:rsidR="00A93D6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>РЦДО</w:t>
      </w:r>
      <w:r w:rsidR="00A93D6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</w:t>
      </w:r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</w:t>
      </w:r>
      <w:proofErr w:type="gramEnd"/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системе персонифицированного финансирования, в отношении которых </w:t>
      </w:r>
      <w:r w:rsidR="00A93D6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, не явля</w:t>
      </w:r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</w:t>
      </w:r>
      <w:r w:rsidR="0060378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и  частными образовательными организациями (индивидуальными предпринимателя), возникающих в рамках системы персонифицированного финансирования. </w:t>
      </w:r>
      <w:r w:rsidR="002E3BFF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муниципальных услуг по реализации дополнительных общеобразовательных общеразвивающих программ, устанавливаются нормативными актами </w:t>
      </w:r>
      <w:r w:rsidR="00A93D6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2E3BFF" w:rsidRPr="002356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4CC3E2" w14:textId="77777777" w:rsidR="00AB3308" w:rsidRPr="009E3488" w:rsidRDefault="00AB3308" w:rsidP="009E3488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9E3488">
        <w:rPr>
          <w:rFonts w:ascii="Times New Roman" w:hAnsi="Times New Roman" w:cs="Times New Roman"/>
          <w:bCs/>
          <w:sz w:val="28"/>
          <w:szCs w:val="28"/>
        </w:rPr>
        <w:t>М</w:t>
      </w:r>
      <w:r w:rsidRPr="009E3488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14:paraId="2903983C" w14:textId="3B645B35" w:rsidR="00AB3308" w:rsidRPr="009E3488" w:rsidRDefault="00AB3308" w:rsidP="009E3488">
      <w:pPr>
        <w:shd w:val="clear" w:color="auto" w:fill="FFFFFF"/>
        <w:tabs>
          <w:tab w:val="left" w:pos="902"/>
        </w:tabs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</w:t>
      </w:r>
      <w:r w:rsidRPr="009E3488">
        <w:rPr>
          <w:rFonts w:ascii="Times New Roman" w:hAnsi="Times New Roman" w:cs="Times New Roman"/>
          <w:sz w:val="28"/>
          <w:szCs w:val="28"/>
        </w:rPr>
        <w:lastRenderedPageBreak/>
        <w:t>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F3F544" w14:textId="77777777" w:rsidR="00AB3308" w:rsidRPr="009E3488" w:rsidRDefault="00AB3308" w:rsidP="009E3488">
      <w:pPr>
        <w:shd w:val="clear" w:color="auto" w:fill="FFFFFF"/>
        <w:tabs>
          <w:tab w:val="left" w:pos="88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62EEC82E" w14:textId="254C3B81" w:rsidR="007A69A7" w:rsidRPr="009E3488" w:rsidRDefault="007A69A7" w:rsidP="009E3488">
      <w:pPr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F14DF68" w14:textId="77777777" w:rsidR="00AB3308" w:rsidRPr="009E3488" w:rsidRDefault="00AB3308" w:rsidP="009E3488">
      <w:pPr>
        <w:shd w:val="clear" w:color="auto" w:fill="FFFFFF"/>
        <w:tabs>
          <w:tab w:val="left" w:pos="883"/>
        </w:tabs>
        <w:spacing w:line="360" w:lineRule="auto"/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14:paraId="0ECB9158" w14:textId="10F88823" w:rsidR="00AB3308" w:rsidRPr="009E3488" w:rsidRDefault="00AB3308" w:rsidP="009E3488">
      <w:pPr>
        <w:widowControl/>
        <w:numPr>
          <w:ilvl w:val="0"/>
          <w:numId w:val="2"/>
        </w:numPr>
        <w:tabs>
          <w:tab w:val="left" w:pos="142"/>
        </w:tabs>
        <w:spacing w:line="360" w:lineRule="auto"/>
        <w:ind w:left="0" w:firstLine="885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14:paraId="32939A7C" w14:textId="77777777" w:rsidR="00AB3308" w:rsidRPr="009E3488" w:rsidRDefault="00AB3308" w:rsidP="009E3488">
      <w:pPr>
        <w:pStyle w:val="a7"/>
        <w:spacing w:line="360" w:lineRule="auto"/>
        <w:ind w:firstLine="885"/>
        <w:rPr>
          <w:sz w:val="28"/>
          <w:szCs w:val="28"/>
        </w:rPr>
      </w:pPr>
    </w:p>
    <w:p w14:paraId="551A7035" w14:textId="77777777" w:rsidR="00394317" w:rsidRDefault="00AB3308" w:rsidP="00394317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09A495EF" w14:textId="31CFB933" w:rsidR="00394317" w:rsidRPr="00394317" w:rsidRDefault="00394317" w:rsidP="00394317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spacing w:line="36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14:paraId="0A189EDC" w14:textId="77777777" w:rsidR="00394317" w:rsidRPr="00C4198E" w:rsidRDefault="008D59F1" w:rsidP="00394317">
      <w:pPr>
        <w:tabs>
          <w:tab w:val="left" w:pos="851"/>
        </w:tabs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6D9317C4" w14:textId="77777777" w:rsidR="00394317" w:rsidRPr="00C4198E" w:rsidDel="000A27CD" w:rsidRDefault="008D59F1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общеразвивающих программ;</w:t>
      </w:r>
    </w:p>
    <w:p w14:paraId="3F039CBC" w14:textId="77777777" w:rsidR="00394317" w:rsidRPr="00C4198E" w:rsidRDefault="008D59F1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08A0ACBF" w14:textId="7729B211" w:rsidR="00394317" w:rsidRPr="00C4198E" w:rsidRDefault="008D59F1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</w:t>
      </w:r>
      <w:r w:rsidR="00A93D6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94317" w:rsidRPr="00C4198E">
        <w:rPr>
          <w:rFonts w:ascii="Times New Roman" w:hAnsi="Times New Roman" w:cs="Times New Roman"/>
          <w:sz w:val="28"/>
          <w:szCs w:val="28"/>
        </w:rPr>
        <w:t>.</w:t>
      </w:r>
    </w:p>
    <w:p w14:paraId="170FC3B3" w14:textId="77777777" w:rsidR="00394317" w:rsidRPr="00C4198E" w:rsidRDefault="00394317" w:rsidP="00394317">
      <w:pPr>
        <w:pStyle w:val="a9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14:paraId="52D3793A" w14:textId="77777777" w:rsidR="00394317" w:rsidRPr="00C4198E" w:rsidRDefault="008D59F1" w:rsidP="00394317">
      <w:pPr>
        <w:tabs>
          <w:tab w:val="left" w:pos="851"/>
        </w:tabs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15DE7FB0" w14:textId="77777777" w:rsidR="00394317" w:rsidRPr="00C4198E" w:rsidRDefault="008D59F1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13D53FB5" w14:textId="77777777" w:rsidR="00394317" w:rsidRPr="00C4198E" w:rsidRDefault="008D59F1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14:paraId="76F9C224" w14:textId="77777777" w:rsidR="00394317" w:rsidRPr="00C4198E" w:rsidRDefault="008D59F1" w:rsidP="00394317">
      <w:pPr>
        <w:tabs>
          <w:tab w:val="left" w:pos="851"/>
        </w:tabs>
        <w:spacing w:line="360" w:lineRule="auto"/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14:paraId="6699D28A" w14:textId="77777777" w:rsidR="00394317" w:rsidRPr="00C4198E" w:rsidRDefault="00394317" w:rsidP="00394317">
      <w:pPr>
        <w:pStyle w:val="a9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i-ой </w:t>
      </w:r>
      <w:r w:rsidRPr="00C4198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14:paraId="362EF4E4" w14:textId="77777777" w:rsidR="00394317" w:rsidRPr="00C4198E" w:rsidRDefault="00394317" w:rsidP="00394317">
      <w:pPr>
        <w:pStyle w:val="a9"/>
        <w:tabs>
          <w:tab w:val="left" w:pos="851"/>
        </w:tabs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14:paraId="427592DD" w14:textId="77777777" w:rsidR="00394317" w:rsidRPr="00C4198E" w:rsidRDefault="008D59F1" w:rsidP="00394317">
      <w:pPr>
        <w:pStyle w:val="a9"/>
        <w:numPr>
          <w:ilvl w:val="0"/>
          <w:numId w:val="18"/>
        </w:numPr>
        <w:tabs>
          <w:tab w:val="left" w:pos="1418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394317" w:rsidRPr="00C4198E"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14:paraId="338FFF6E" w14:textId="77777777" w:rsidR="00394317" w:rsidRPr="00C4198E" w:rsidRDefault="00394317" w:rsidP="00394317">
      <w:pPr>
        <w:spacing w:line="36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14:paraId="3646DBF4" w14:textId="77777777" w:rsidR="00394317" w:rsidRPr="00C4198E" w:rsidRDefault="00394317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14:paraId="5770F3EF" w14:textId="3D1A5F7F" w:rsidR="00394317" w:rsidRPr="00C4198E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</w:t>
      </w:r>
      <w:r w:rsidR="001B22F5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394317" w:rsidRPr="00C4198E">
        <w:rPr>
          <w:rFonts w:ascii="Times New Roman" w:hAnsi="Times New Roman" w:cs="Times New Roman"/>
          <w:sz w:val="28"/>
          <w:szCs w:val="28"/>
        </w:rPr>
        <w:t>;</w:t>
      </w:r>
    </w:p>
    <w:p w14:paraId="234AFEED" w14:textId="6955DE1C" w:rsidR="00394317" w:rsidRPr="00C4198E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</w:t>
      </w:r>
      <w:r w:rsidR="00A93D6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94317" w:rsidRPr="00C4198E">
        <w:rPr>
          <w:rFonts w:ascii="Times New Roman" w:hAnsi="Times New Roman" w:cs="Times New Roman"/>
          <w:sz w:val="28"/>
          <w:szCs w:val="28"/>
        </w:rPr>
        <w:t>;</w:t>
      </w:r>
    </w:p>
    <w:p w14:paraId="0F22A18B" w14:textId="77777777" w:rsidR="00394317" w:rsidRPr="00B746D8" w:rsidRDefault="008D59F1" w:rsidP="00394317">
      <w:pPr>
        <w:pStyle w:val="a9"/>
        <w:numPr>
          <w:ilvl w:val="0"/>
          <w:numId w:val="18"/>
        </w:numPr>
        <w:tabs>
          <w:tab w:val="left" w:pos="1418"/>
        </w:tabs>
        <w:spacing w:line="360" w:lineRule="auto"/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lastRenderedPageBreak/>
        <w:t>определяются по формуле:</w:t>
      </w:r>
    </w:p>
    <w:p w14:paraId="3E9C0400" w14:textId="77777777" w:rsidR="00394317" w:rsidRPr="00C4198E" w:rsidRDefault="008D59F1" w:rsidP="00394317">
      <w:pPr>
        <w:spacing w:line="360" w:lineRule="auto"/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14:paraId="025237D0" w14:textId="77777777" w:rsidR="00394317" w:rsidRPr="00C4198E" w:rsidRDefault="008D59F1" w:rsidP="00394317">
      <w:pPr>
        <w:spacing w:line="360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14:paraId="2733E8CD" w14:textId="77777777" w:rsidR="00394317" w:rsidRPr="00C4198E" w:rsidRDefault="008D59F1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D76C9D5" w14:textId="77777777" w:rsidR="00394317" w:rsidRPr="00C4198E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14:paraId="2129B431" w14:textId="324ED7C7" w:rsidR="00394317" w:rsidRPr="00C4198E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</w:t>
      </w:r>
      <w:r w:rsidR="002E425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B22F5">
        <w:rPr>
          <w:rFonts w:ascii="Times New Roman" w:hAnsi="Times New Roman" w:cs="Times New Roman"/>
          <w:sz w:val="28"/>
          <w:szCs w:val="28"/>
        </w:rPr>
        <w:t>;</w:t>
      </w:r>
    </w:p>
    <w:p w14:paraId="57F27E09" w14:textId="6B8B82BB" w:rsidR="00394317" w:rsidRPr="00C4198E" w:rsidRDefault="00394317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 xml:space="preserve"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</w:t>
      </w:r>
      <w:r w:rsidR="002E4251">
        <w:rPr>
          <w:rFonts w:ascii="Times New Roman" w:hAnsi="Times New Roman" w:cs="Times New Roman"/>
          <w:sz w:val="28"/>
          <w:szCs w:val="28"/>
        </w:rPr>
        <w:t>о</w:t>
      </w:r>
      <w:r w:rsidRPr="00C4198E">
        <w:rPr>
          <w:rFonts w:ascii="Times New Roman" w:hAnsi="Times New Roman" w:cs="Times New Roman"/>
          <w:sz w:val="28"/>
          <w:szCs w:val="28"/>
        </w:rPr>
        <w:t>бщими требованиями;</w:t>
      </w:r>
    </w:p>
    <w:p w14:paraId="0CDA0EFE" w14:textId="77777777" w:rsidR="00394317" w:rsidRPr="00C4198E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14:paraId="247DD315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A1797EF" w14:textId="7DB83DF1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14:paraId="462C745B" w14:textId="77777777" w:rsidR="00394317" w:rsidRPr="009D44DD" w:rsidRDefault="008D59F1" w:rsidP="00394317">
      <w:pPr>
        <w:pStyle w:val="a9"/>
        <w:numPr>
          <w:ilvl w:val="0"/>
          <w:numId w:val="18"/>
        </w:numPr>
        <w:tabs>
          <w:tab w:val="left" w:pos="1418"/>
        </w:tabs>
        <w:spacing w:line="360" w:lineRule="auto"/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2789A4E" w14:textId="77777777" w:rsidR="00394317" w:rsidRPr="009E3488" w:rsidRDefault="008D59F1" w:rsidP="00394317">
      <w:pPr>
        <w:spacing w:line="360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14:paraId="57C4749B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26BA4915" w14:textId="77777777" w:rsidR="00394317" w:rsidRPr="009E3488" w:rsidRDefault="008D59F1" w:rsidP="00394317">
      <w:pPr>
        <w:spacing w:line="360" w:lineRule="auto"/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53927E3F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36022C00" w14:textId="77777777" w:rsidR="00394317" w:rsidRPr="009D44DD" w:rsidRDefault="008D59F1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0C5ED22C" w14:textId="77777777" w:rsidR="00394317" w:rsidRPr="009D44DD" w:rsidRDefault="008D59F1" w:rsidP="00394317">
      <w:pPr>
        <w:pStyle w:val="a9"/>
        <w:numPr>
          <w:ilvl w:val="0"/>
          <w:numId w:val="18"/>
        </w:numPr>
        <w:tabs>
          <w:tab w:val="left" w:pos="1418"/>
        </w:tabs>
        <w:spacing w:line="360" w:lineRule="auto"/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2CB1911E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14:paraId="3318E90B" w14:textId="77777777" w:rsidR="00394317" w:rsidRPr="009E3488" w:rsidRDefault="008D59F1" w:rsidP="00394317">
      <w:pPr>
        <w:pStyle w:val="a9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5DB106DD" w14:textId="77777777" w:rsidR="00394317" w:rsidRPr="009E3488" w:rsidRDefault="008D59F1" w:rsidP="00394317">
      <w:pPr>
        <w:pStyle w:val="a9"/>
        <w:tabs>
          <w:tab w:val="left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6B612B24" w14:textId="77777777" w:rsidR="00394317" w:rsidRPr="009D44DD" w:rsidRDefault="00394317" w:rsidP="00394317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09C102A3" w14:textId="77777777" w:rsidR="00394317" w:rsidRPr="009E3488" w:rsidRDefault="00394317" w:rsidP="00394317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pacing w:line="360" w:lineRule="auto"/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14:paraId="4C8ED2BF" w14:textId="77777777" w:rsidR="00394317" w:rsidRPr="009E3488" w:rsidRDefault="008D59F1" w:rsidP="00394317">
      <w:pPr>
        <w:shd w:val="clear" w:color="auto" w:fill="FFFFFF"/>
        <w:tabs>
          <w:tab w:val="left" w:pos="883"/>
        </w:tabs>
        <w:spacing w:line="36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1E37D7AF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F5A166F" w14:textId="77777777" w:rsidR="00394317" w:rsidRPr="009E3488" w:rsidRDefault="008D59F1" w:rsidP="00394317">
      <w:pPr>
        <w:spacing w:line="36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14:paraId="1E1B9391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14:paraId="22F8E317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>), рассчитываются на основе учета нормативной площади прилегающей территории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). СП 118.13330.2012, нормы обслуживания территории дворником при механизированной уборке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94317" w:rsidRPr="009E348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Постановление Секретариата ВЦСПС от 21.04.1978 N 13-14, пункт 9 б, стоимости обслуживания и уборки помещений, рублей за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412CB2C9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</w:t>
      </w:r>
      <w:r w:rsidR="00394317" w:rsidRPr="009E3488">
        <w:rPr>
          <w:rFonts w:ascii="Times New Roman" w:hAnsi="Times New Roman" w:cs="Times New Roman"/>
          <w:sz w:val="28"/>
          <w:szCs w:val="28"/>
        </w:rPr>
        <w:lastRenderedPageBreak/>
        <w:t>(ремонта) оргтехники в год;</w:t>
      </w:r>
    </w:p>
    <w:p w14:paraId="6AD3A328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14:paraId="54272313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14:paraId="7C797F2B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14:paraId="5C108AB5" w14:textId="77777777" w:rsidR="00394317" w:rsidRPr="009E3488" w:rsidRDefault="008D59F1" w:rsidP="003943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14:paraId="01A625CA" w14:textId="77777777" w:rsidR="00394317" w:rsidRPr="009E3488" w:rsidRDefault="008D59F1" w:rsidP="0039431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14:paraId="5211A653" w14:textId="2808F5C4" w:rsidR="00281EF6" w:rsidRDefault="008D59F1" w:rsidP="00394317">
      <w:pPr>
        <w:widowControl/>
        <w:shd w:val="clear" w:color="auto" w:fill="FFFFFF"/>
        <w:tabs>
          <w:tab w:val="left" w:pos="88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</w:t>
      </w:r>
      <w:r w:rsidR="002E425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94317" w:rsidRPr="009D44DD">
        <w:rPr>
          <w:rFonts w:ascii="Times New Roman" w:hAnsi="Times New Roman" w:cs="Times New Roman"/>
          <w:sz w:val="28"/>
          <w:szCs w:val="28"/>
        </w:rPr>
        <w:t>.</w:t>
      </w:r>
    </w:p>
    <w:p w14:paraId="2A86FF3F" w14:textId="77777777" w:rsidR="00AF3511" w:rsidRDefault="00AF3511" w:rsidP="00394317">
      <w:pPr>
        <w:widowControl/>
        <w:shd w:val="clear" w:color="auto" w:fill="FFFFFF"/>
        <w:tabs>
          <w:tab w:val="left" w:pos="88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FAEF4D" w14:textId="77777777" w:rsidR="00AF3511" w:rsidRDefault="00AF3511" w:rsidP="00394317">
      <w:pPr>
        <w:widowControl/>
        <w:shd w:val="clear" w:color="auto" w:fill="FFFFFF"/>
        <w:tabs>
          <w:tab w:val="left" w:pos="88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BB2788" w14:textId="77777777" w:rsidR="00AF3511" w:rsidRDefault="00AF3511" w:rsidP="00394317">
      <w:pPr>
        <w:widowControl/>
        <w:shd w:val="clear" w:color="auto" w:fill="FFFFFF"/>
        <w:tabs>
          <w:tab w:val="left" w:pos="883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E8359D" w14:textId="77777777" w:rsidR="00AF3511" w:rsidRPr="005248B8" w:rsidRDefault="00AF3511" w:rsidP="00394317">
      <w:pPr>
        <w:widowControl/>
        <w:shd w:val="clear" w:color="auto" w:fill="FFFFFF"/>
        <w:tabs>
          <w:tab w:val="left" w:pos="883"/>
        </w:tabs>
        <w:spacing w:line="360" w:lineRule="auto"/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sectPr w:rsidR="00AF3511" w:rsidRPr="005248B8" w:rsidSect="0074757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7050"/>
    <w:rsid w:val="00007183"/>
    <w:rsid w:val="00033F56"/>
    <w:rsid w:val="00045F5D"/>
    <w:rsid w:val="00081ED6"/>
    <w:rsid w:val="000A27CD"/>
    <w:rsid w:val="000A6763"/>
    <w:rsid w:val="000B1CF9"/>
    <w:rsid w:val="000D3914"/>
    <w:rsid w:val="000D4FDC"/>
    <w:rsid w:val="00134C5B"/>
    <w:rsid w:val="001643F2"/>
    <w:rsid w:val="00173378"/>
    <w:rsid w:val="00186B27"/>
    <w:rsid w:val="001B22F5"/>
    <w:rsid w:val="001B6F32"/>
    <w:rsid w:val="001D1BB5"/>
    <w:rsid w:val="00206F28"/>
    <w:rsid w:val="002356E2"/>
    <w:rsid w:val="00240D20"/>
    <w:rsid w:val="00243360"/>
    <w:rsid w:val="00281EF6"/>
    <w:rsid w:val="002A4B57"/>
    <w:rsid w:val="002B1472"/>
    <w:rsid w:val="002D5A4A"/>
    <w:rsid w:val="002E3BFF"/>
    <w:rsid w:val="002E4251"/>
    <w:rsid w:val="002F69A4"/>
    <w:rsid w:val="002F6E83"/>
    <w:rsid w:val="00303600"/>
    <w:rsid w:val="0031255C"/>
    <w:rsid w:val="003152F7"/>
    <w:rsid w:val="00333AAF"/>
    <w:rsid w:val="00347642"/>
    <w:rsid w:val="00357654"/>
    <w:rsid w:val="003603D4"/>
    <w:rsid w:val="00361510"/>
    <w:rsid w:val="00376155"/>
    <w:rsid w:val="00380321"/>
    <w:rsid w:val="00394317"/>
    <w:rsid w:val="0039490E"/>
    <w:rsid w:val="003A24C6"/>
    <w:rsid w:val="003E151D"/>
    <w:rsid w:val="003F14D8"/>
    <w:rsid w:val="003F4D10"/>
    <w:rsid w:val="004356C5"/>
    <w:rsid w:val="0044403A"/>
    <w:rsid w:val="004565C2"/>
    <w:rsid w:val="00460837"/>
    <w:rsid w:val="00482BA5"/>
    <w:rsid w:val="004A15A0"/>
    <w:rsid w:val="004C3AEC"/>
    <w:rsid w:val="004D0153"/>
    <w:rsid w:val="005248B8"/>
    <w:rsid w:val="005417E3"/>
    <w:rsid w:val="00550830"/>
    <w:rsid w:val="0056216B"/>
    <w:rsid w:val="0058240E"/>
    <w:rsid w:val="005A2392"/>
    <w:rsid w:val="005B5664"/>
    <w:rsid w:val="005D57C2"/>
    <w:rsid w:val="005F4490"/>
    <w:rsid w:val="00603780"/>
    <w:rsid w:val="00605D3F"/>
    <w:rsid w:val="006128E4"/>
    <w:rsid w:val="00637450"/>
    <w:rsid w:val="00641915"/>
    <w:rsid w:val="00644E88"/>
    <w:rsid w:val="006916A1"/>
    <w:rsid w:val="006A7EA8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C77CE"/>
    <w:rsid w:val="007D457B"/>
    <w:rsid w:val="007E411B"/>
    <w:rsid w:val="007F581F"/>
    <w:rsid w:val="00811604"/>
    <w:rsid w:val="008214F9"/>
    <w:rsid w:val="00824676"/>
    <w:rsid w:val="0083394F"/>
    <w:rsid w:val="00842E43"/>
    <w:rsid w:val="00855F09"/>
    <w:rsid w:val="00857D2A"/>
    <w:rsid w:val="0087017C"/>
    <w:rsid w:val="008717B7"/>
    <w:rsid w:val="008728D5"/>
    <w:rsid w:val="00874689"/>
    <w:rsid w:val="00876702"/>
    <w:rsid w:val="008814B8"/>
    <w:rsid w:val="00884F99"/>
    <w:rsid w:val="008D59F1"/>
    <w:rsid w:val="008D73DB"/>
    <w:rsid w:val="008E043A"/>
    <w:rsid w:val="00921144"/>
    <w:rsid w:val="009427DC"/>
    <w:rsid w:val="009517EA"/>
    <w:rsid w:val="00963121"/>
    <w:rsid w:val="00985A44"/>
    <w:rsid w:val="009A0B51"/>
    <w:rsid w:val="009A7897"/>
    <w:rsid w:val="009E1F8F"/>
    <w:rsid w:val="009E3488"/>
    <w:rsid w:val="009E489B"/>
    <w:rsid w:val="009E57C6"/>
    <w:rsid w:val="00A81807"/>
    <w:rsid w:val="00A84047"/>
    <w:rsid w:val="00A84576"/>
    <w:rsid w:val="00A85E3D"/>
    <w:rsid w:val="00A87442"/>
    <w:rsid w:val="00A90A86"/>
    <w:rsid w:val="00A93D6A"/>
    <w:rsid w:val="00AA05DF"/>
    <w:rsid w:val="00AB3308"/>
    <w:rsid w:val="00AC7EDC"/>
    <w:rsid w:val="00AF3511"/>
    <w:rsid w:val="00B0285A"/>
    <w:rsid w:val="00B041A6"/>
    <w:rsid w:val="00B35F81"/>
    <w:rsid w:val="00B42534"/>
    <w:rsid w:val="00B44B6C"/>
    <w:rsid w:val="00B45A6E"/>
    <w:rsid w:val="00B762ED"/>
    <w:rsid w:val="00B826DC"/>
    <w:rsid w:val="00BB005C"/>
    <w:rsid w:val="00BB699B"/>
    <w:rsid w:val="00BC000D"/>
    <w:rsid w:val="00BD5A1D"/>
    <w:rsid w:val="00BF48BC"/>
    <w:rsid w:val="00BF6654"/>
    <w:rsid w:val="00C2544B"/>
    <w:rsid w:val="00C417AE"/>
    <w:rsid w:val="00C4253B"/>
    <w:rsid w:val="00C46A93"/>
    <w:rsid w:val="00C579D8"/>
    <w:rsid w:val="00C61B44"/>
    <w:rsid w:val="00C8174C"/>
    <w:rsid w:val="00CA3A66"/>
    <w:rsid w:val="00CC0D6A"/>
    <w:rsid w:val="00CC0FB6"/>
    <w:rsid w:val="00CD1916"/>
    <w:rsid w:val="00CD49E7"/>
    <w:rsid w:val="00D14E33"/>
    <w:rsid w:val="00D50EE7"/>
    <w:rsid w:val="00D52B30"/>
    <w:rsid w:val="00D56DD0"/>
    <w:rsid w:val="00D671F1"/>
    <w:rsid w:val="00D87E91"/>
    <w:rsid w:val="00DC7120"/>
    <w:rsid w:val="00DD7A3C"/>
    <w:rsid w:val="00DF0883"/>
    <w:rsid w:val="00DF623D"/>
    <w:rsid w:val="00E322D9"/>
    <w:rsid w:val="00E41BA4"/>
    <w:rsid w:val="00E427BD"/>
    <w:rsid w:val="00E53121"/>
    <w:rsid w:val="00E70F6D"/>
    <w:rsid w:val="00E97F03"/>
    <w:rsid w:val="00EA0AA3"/>
    <w:rsid w:val="00EB56F9"/>
    <w:rsid w:val="00ED0D42"/>
    <w:rsid w:val="00EE40A9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8E043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8E0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8E043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8E0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E0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B44B6C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9">
    <w:name w:val="Основной текст Знак"/>
    <w:basedOn w:val="a0"/>
    <w:link w:val="af8"/>
    <w:rsid w:val="00B44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8E043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8E0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8E043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8E0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E0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B44B6C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9">
    <w:name w:val="Основной текст Знак"/>
    <w:basedOn w:val="a0"/>
    <w:link w:val="af8"/>
    <w:rsid w:val="00B44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1</cp:lastModifiedBy>
  <cp:revision>30</cp:revision>
  <cp:lastPrinted>2022-03-18T06:39:00Z</cp:lastPrinted>
  <dcterms:created xsi:type="dcterms:W3CDTF">2022-01-13T06:52:00Z</dcterms:created>
  <dcterms:modified xsi:type="dcterms:W3CDTF">2022-03-18T09:31:00Z</dcterms:modified>
</cp:coreProperties>
</file>