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DB" w:rsidRDefault="00A431DB" w:rsidP="00A431D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431DB" w:rsidRPr="00147D39" w:rsidRDefault="00A431DB" w:rsidP="00A431D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431DB" w:rsidRDefault="00A431DB" w:rsidP="00A431D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16</w:t>
      </w:r>
    </w:p>
    <w:p w:rsidR="00A431DB" w:rsidRDefault="00A431DB" w:rsidP="00A431D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ноября 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A431DB" w:rsidRDefault="00A431DB" w:rsidP="00A431D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A431DB" w:rsidRPr="00A431DB" w:rsidRDefault="00A431DB" w:rsidP="00A431DB">
      <w:pPr>
        <w:pStyle w:val="a3"/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Архангельская область</w:t>
      </w:r>
    </w:p>
    <w:p w:rsidR="00A431DB" w:rsidRPr="00A431DB" w:rsidRDefault="00A431DB" w:rsidP="00A431DB">
      <w:pPr>
        <w:pStyle w:val="a3"/>
        <w:jc w:val="center"/>
        <w:rPr>
          <w:b/>
          <w:sz w:val="20"/>
          <w:szCs w:val="20"/>
        </w:rPr>
      </w:pPr>
      <w:proofErr w:type="spellStart"/>
      <w:r w:rsidRPr="00A431DB">
        <w:rPr>
          <w:b/>
          <w:sz w:val="20"/>
          <w:szCs w:val="20"/>
        </w:rPr>
        <w:t>Пинежский</w:t>
      </w:r>
      <w:proofErr w:type="spellEnd"/>
      <w:r w:rsidRPr="00A431DB">
        <w:rPr>
          <w:b/>
          <w:sz w:val="20"/>
          <w:szCs w:val="20"/>
        </w:rPr>
        <w:t xml:space="preserve"> муниципальный район</w:t>
      </w: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АДМИНИСТРАЦИЯ  МУНИЦИПАЛЬНОГО ОБРАЗОВАНИЯ</w:t>
      </w:r>
      <w:r w:rsidRPr="00A431DB">
        <w:rPr>
          <w:b/>
          <w:sz w:val="20"/>
          <w:szCs w:val="20"/>
        </w:rPr>
        <w:br/>
        <w:t>«МЕЖДУРЕЧЕНСКОЕ»</w:t>
      </w: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</w:p>
    <w:p w:rsidR="00A431DB" w:rsidRPr="00A431DB" w:rsidRDefault="00A431DB" w:rsidP="00A431DB">
      <w:pPr>
        <w:jc w:val="center"/>
        <w:rPr>
          <w:sz w:val="20"/>
          <w:szCs w:val="20"/>
        </w:rPr>
      </w:pP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ПОСТАНОВЛЕНИЕ</w:t>
      </w:r>
    </w:p>
    <w:p w:rsidR="00A431DB" w:rsidRPr="00A431DB" w:rsidRDefault="00A431DB" w:rsidP="00A431DB">
      <w:pPr>
        <w:rPr>
          <w:sz w:val="20"/>
          <w:szCs w:val="20"/>
        </w:rPr>
      </w:pPr>
      <w:r w:rsidRPr="00A431DB">
        <w:rPr>
          <w:sz w:val="20"/>
          <w:szCs w:val="20"/>
        </w:rPr>
        <w:t xml:space="preserve">  08 ноября  2022 года                                                                          № 19</w:t>
      </w:r>
    </w:p>
    <w:p w:rsidR="00A431DB" w:rsidRPr="00A431DB" w:rsidRDefault="00A431DB" w:rsidP="00A431DB">
      <w:pPr>
        <w:jc w:val="center"/>
        <w:rPr>
          <w:sz w:val="20"/>
          <w:szCs w:val="20"/>
        </w:rPr>
      </w:pPr>
      <w:r w:rsidRPr="00A431DB">
        <w:rPr>
          <w:sz w:val="20"/>
          <w:szCs w:val="20"/>
        </w:rPr>
        <w:t>п.  Междуреченский</w:t>
      </w:r>
    </w:p>
    <w:p w:rsidR="00A431DB" w:rsidRPr="00A431DB" w:rsidRDefault="00A431DB" w:rsidP="00A431DB">
      <w:pPr>
        <w:jc w:val="center"/>
        <w:rPr>
          <w:sz w:val="20"/>
          <w:szCs w:val="20"/>
        </w:rPr>
      </w:pP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Об утверждении Программы профилактики рисков причинения</w:t>
      </w: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вреда (ущерба) охраняемым законом ценностям при осуществлении</w:t>
      </w: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муниципального контроля за соблюдением Правил благоустройства,</w:t>
      </w: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осуществляемого на территории муниципального образования</w:t>
      </w:r>
    </w:p>
    <w:p w:rsidR="00A431DB" w:rsidRPr="00A431DB" w:rsidRDefault="00A431DB" w:rsidP="00A431DB">
      <w:pPr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 xml:space="preserve">«Междуреченское» </w:t>
      </w:r>
      <w:proofErr w:type="spellStart"/>
      <w:r w:rsidRPr="00A431DB">
        <w:rPr>
          <w:b/>
          <w:sz w:val="20"/>
          <w:szCs w:val="20"/>
        </w:rPr>
        <w:t>Пинежского</w:t>
      </w:r>
      <w:proofErr w:type="spellEnd"/>
      <w:r w:rsidRPr="00A431DB">
        <w:rPr>
          <w:b/>
          <w:sz w:val="20"/>
          <w:szCs w:val="20"/>
        </w:rPr>
        <w:t xml:space="preserve"> муниципального района Архангельской области на 2023 год</w:t>
      </w:r>
    </w:p>
    <w:p w:rsidR="00A431DB" w:rsidRPr="00A431DB" w:rsidRDefault="00A431DB" w:rsidP="00A431DB">
      <w:pPr>
        <w:jc w:val="both"/>
        <w:rPr>
          <w:sz w:val="20"/>
          <w:szCs w:val="20"/>
        </w:rPr>
      </w:pP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  <w:r w:rsidRPr="00A431DB">
        <w:rPr>
          <w:sz w:val="20"/>
          <w:szCs w:val="20"/>
        </w:rPr>
        <w:t xml:space="preserve">В соответствии с Федеральным законом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«Междуреченское» </w:t>
      </w:r>
      <w:proofErr w:type="spellStart"/>
      <w:r w:rsidRPr="00A431DB">
        <w:rPr>
          <w:sz w:val="20"/>
          <w:szCs w:val="20"/>
        </w:rPr>
        <w:t>Пинежского</w:t>
      </w:r>
      <w:proofErr w:type="spellEnd"/>
      <w:r w:rsidRPr="00A431DB">
        <w:rPr>
          <w:sz w:val="20"/>
          <w:szCs w:val="20"/>
        </w:rPr>
        <w:t xml:space="preserve"> муниципального района Архангельской области, администрация </w:t>
      </w: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</w:p>
    <w:p w:rsidR="00A431DB" w:rsidRPr="00A431DB" w:rsidRDefault="00A431DB" w:rsidP="00A431DB">
      <w:pPr>
        <w:ind w:firstLine="851"/>
        <w:jc w:val="center"/>
        <w:rPr>
          <w:b/>
          <w:sz w:val="20"/>
          <w:szCs w:val="20"/>
        </w:rPr>
      </w:pPr>
      <w:r w:rsidRPr="00A431DB">
        <w:rPr>
          <w:b/>
          <w:sz w:val="20"/>
          <w:szCs w:val="20"/>
        </w:rPr>
        <w:t>постановляет:</w:t>
      </w: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  <w:r w:rsidRPr="00A431DB">
        <w:rPr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благоустройства, осуществляемого на территории муниципального образования «Междуреченское» </w:t>
      </w:r>
      <w:proofErr w:type="spellStart"/>
      <w:r w:rsidRPr="00A431DB">
        <w:rPr>
          <w:sz w:val="20"/>
          <w:szCs w:val="20"/>
        </w:rPr>
        <w:t>Пинежского</w:t>
      </w:r>
      <w:proofErr w:type="spellEnd"/>
      <w:r w:rsidRPr="00A431DB">
        <w:rPr>
          <w:sz w:val="20"/>
          <w:szCs w:val="20"/>
        </w:rPr>
        <w:t xml:space="preserve"> муниципального района Архангельской области на 2023 год.</w:t>
      </w: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  <w:r w:rsidRPr="00A431DB">
        <w:rPr>
          <w:sz w:val="20"/>
          <w:szCs w:val="20"/>
        </w:rPr>
        <w:t xml:space="preserve">2. </w:t>
      </w:r>
      <w:r w:rsidRPr="00A431DB">
        <w:rPr>
          <w:color w:val="000000"/>
          <w:sz w:val="20"/>
          <w:szCs w:val="20"/>
        </w:rPr>
        <w:t>Опубликовать настоящее постановление в информационном бюллетене органов местного самоуправления и  на информационном сайте администрации МО «</w:t>
      </w:r>
      <w:proofErr w:type="spellStart"/>
      <w:r w:rsidRPr="00A431DB">
        <w:rPr>
          <w:color w:val="000000"/>
          <w:sz w:val="20"/>
          <w:szCs w:val="20"/>
        </w:rPr>
        <w:t>Пинежский</w:t>
      </w:r>
      <w:proofErr w:type="spellEnd"/>
      <w:r w:rsidRPr="00A431DB">
        <w:rPr>
          <w:color w:val="000000"/>
          <w:sz w:val="20"/>
          <w:szCs w:val="20"/>
        </w:rPr>
        <w:t xml:space="preserve"> муниципальный район»</w:t>
      </w:r>
      <w:r w:rsidRPr="00A431DB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  <w:r w:rsidRPr="00A431DB">
        <w:rPr>
          <w:sz w:val="20"/>
          <w:szCs w:val="20"/>
        </w:rPr>
        <w:t>3. Постановление вступает в силу со дня его официального опубликования.</w:t>
      </w:r>
    </w:p>
    <w:p w:rsidR="00A431DB" w:rsidRPr="00A431DB" w:rsidRDefault="00A431DB" w:rsidP="00A431DB">
      <w:pPr>
        <w:ind w:firstLine="851"/>
        <w:jc w:val="both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40"/>
      </w:tblGrid>
      <w:tr w:rsidR="00A431DB" w:rsidRPr="00A431DB" w:rsidTr="007109B5">
        <w:tc>
          <w:tcPr>
            <w:tcW w:w="3510" w:type="dxa"/>
          </w:tcPr>
          <w:p w:rsidR="00A431DB" w:rsidRPr="00A431DB" w:rsidRDefault="00A431DB" w:rsidP="007109B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A431DB" w:rsidRPr="00A431DB" w:rsidRDefault="00A431DB" w:rsidP="007109B5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УТВЕРЖДЕНА</w:t>
            </w:r>
          </w:p>
          <w:p w:rsidR="00A431DB" w:rsidRPr="00A431DB" w:rsidRDefault="00A431DB" w:rsidP="007109B5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Постановлением администрации</w:t>
            </w:r>
          </w:p>
          <w:p w:rsidR="00A431DB" w:rsidRPr="00A431DB" w:rsidRDefault="00A431DB" w:rsidP="007109B5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муниципального образования «Междуреченское»</w:t>
            </w:r>
          </w:p>
          <w:p w:rsidR="00A431DB" w:rsidRPr="00A431DB" w:rsidRDefault="00A431DB" w:rsidP="007109B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№ 19 от 08 ноября 2022года.</w:t>
            </w:r>
          </w:p>
        </w:tc>
      </w:tr>
    </w:tbl>
    <w:p w:rsidR="00A431DB" w:rsidRPr="00A431DB" w:rsidRDefault="00A431DB" w:rsidP="00A431DB">
      <w:pPr>
        <w:autoSpaceDE w:val="0"/>
        <w:autoSpaceDN w:val="0"/>
        <w:adjustRightInd w:val="0"/>
        <w:spacing w:line="240" w:lineRule="exact"/>
        <w:ind w:left="4820" w:firstLine="1559"/>
        <w:jc w:val="right"/>
        <w:outlineLvl w:val="0"/>
        <w:rPr>
          <w:sz w:val="20"/>
          <w:szCs w:val="20"/>
        </w:rPr>
      </w:pPr>
      <w:r w:rsidRPr="00A431DB">
        <w:rPr>
          <w:sz w:val="20"/>
          <w:szCs w:val="20"/>
        </w:rPr>
        <w:t xml:space="preserve">     </w:t>
      </w:r>
    </w:p>
    <w:p w:rsidR="00A431DB" w:rsidRPr="00A431DB" w:rsidRDefault="00A431DB" w:rsidP="00A431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44"/>
      <w:bookmarkEnd w:id="0"/>
    </w:p>
    <w:p w:rsidR="00A431DB" w:rsidRPr="00A431DB" w:rsidRDefault="00A431DB" w:rsidP="00A431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431DB">
        <w:rPr>
          <w:b/>
          <w:bCs/>
          <w:sz w:val="20"/>
          <w:szCs w:val="20"/>
        </w:rPr>
        <w:t xml:space="preserve">Программа </w:t>
      </w:r>
    </w:p>
    <w:p w:rsidR="00A431DB" w:rsidRPr="00A431DB" w:rsidRDefault="00A431DB" w:rsidP="00A431DB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A431DB">
        <w:rPr>
          <w:b/>
          <w:bCs/>
          <w:sz w:val="20"/>
          <w:szCs w:val="20"/>
        </w:rPr>
        <w:t xml:space="preserve">профилактики </w:t>
      </w:r>
      <w:r w:rsidRPr="00A431DB">
        <w:rPr>
          <w:b/>
          <w:sz w:val="20"/>
          <w:szCs w:val="20"/>
        </w:rPr>
        <w:t xml:space="preserve">рисков причинения вреда (ущерба) охраняемым законом ценностям при осуществлении </w:t>
      </w:r>
      <w:r w:rsidRPr="00A431DB">
        <w:rPr>
          <w:rFonts w:eastAsia="Calibri"/>
          <w:b/>
          <w:sz w:val="20"/>
          <w:szCs w:val="20"/>
          <w:lang w:eastAsia="en-US"/>
        </w:rPr>
        <w:t xml:space="preserve">муниципального контроля в сфере благоустройства, осуществляемого на территории муниципального образования «Междуреченское» </w:t>
      </w:r>
      <w:proofErr w:type="spellStart"/>
      <w:r w:rsidRPr="00A431DB">
        <w:rPr>
          <w:rFonts w:eastAsia="Calibri"/>
          <w:b/>
          <w:sz w:val="20"/>
          <w:szCs w:val="20"/>
          <w:lang w:eastAsia="en-US"/>
        </w:rPr>
        <w:t>Пинежского</w:t>
      </w:r>
      <w:proofErr w:type="spellEnd"/>
      <w:r w:rsidRPr="00A431DB">
        <w:rPr>
          <w:rFonts w:eastAsia="Calibri"/>
          <w:b/>
          <w:sz w:val="20"/>
          <w:szCs w:val="20"/>
          <w:lang w:eastAsia="en-US"/>
        </w:rPr>
        <w:t xml:space="preserve"> муниципального района Архангельской области на 2023 год</w:t>
      </w:r>
    </w:p>
    <w:p w:rsidR="00A431DB" w:rsidRPr="00A431DB" w:rsidRDefault="00A431DB" w:rsidP="00A431D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</w:p>
    <w:p w:rsidR="00A431DB" w:rsidRPr="00A431DB" w:rsidRDefault="00A431DB" w:rsidP="00A431DB">
      <w:pPr>
        <w:ind w:firstLine="709"/>
        <w:jc w:val="both"/>
        <w:rPr>
          <w:color w:val="010101"/>
          <w:sz w:val="20"/>
          <w:szCs w:val="20"/>
          <w:shd w:val="clear" w:color="auto" w:fill="FFFFFF"/>
        </w:rPr>
      </w:pPr>
      <w:bookmarkStart w:id="1" w:name="Par94"/>
      <w:bookmarkEnd w:id="1"/>
      <w:r w:rsidRPr="00A431DB">
        <w:rPr>
          <w:color w:val="010101"/>
          <w:sz w:val="20"/>
          <w:szCs w:val="20"/>
          <w:shd w:val="clear" w:color="auto" w:fill="FFFFFF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«Междуреченское» </w:t>
      </w:r>
      <w:proofErr w:type="spellStart"/>
      <w:r w:rsidRPr="00A431DB">
        <w:rPr>
          <w:color w:val="010101"/>
          <w:sz w:val="20"/>
          <w:szCs w:val="20"/>
          <w:shd w:val="clear" w:color="auto" w:fill="FFFFFF"/>
        </w:rPr>
        <w:t>Пинежского</w:t>
      </w:r>
      <w:proofErr w:type="spellEnd"/>
      <w:r w:rsidRPr="00A431DB">
        <w:rPr>
          <w:color w:val="010101"/>
          <w:sz w:val="20"/>
          <w:szCs w:val="20"/>
          <w:shd w:val="clear" w:color="auto" w:fill="FFFFFF"/>
        </w:rPr>
        <w:t xml:space="preserve"> муниципального района Архангельской области (далее – муниципальный контроль).</w:t>
      </w:r>
    </w:p>
    <w:p w:rsidR="00A431DB" w:rsidRPr="00A431DB" w:rsidRDefault="00A431DB" w:rsidP="00A431DB">
      <w:pPr>
        <w:ind w:firstLine="709"/>
        <w:jc w:val="both"/>
        <w:rPr>
          <w:color w:val="010101"/>
          <w:sz w:val="20"/>
          <w:szCs w:val="20"/>
          <w:shd w:val="clear" w:color="auto" w:fill="FFFFFF"/>
        </w:rPr>
      </w:pPr>
      <w:r w:rsidRPr="00A431DB">
        <w:rPr>
          <w:color w:val="010101"/>
          <w:sz w:val="20"/>
          <w:szCs w:val="20"/>
          <w:shd w:val="clear" w:color="auto" w:fill="FFFFFF"/>
        </w:rPr>
        <w:lastRenderedPageBreak/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установленных правилами благоустройства территории муниципального образования «Междуреченское», принятые Решением Совета депутатов  № 52 от 25  сентября 2018 года (далее – Правила), а также муниципальными правовыми актами на территории муниципального образования «Междуреченское» </w:t>
      </w:r>
      <w:proofErr w:type="spellStart"/>
      <w:r w:rsidRPr="00A431DB">
        <w:rPr>
          <w:color w:val="010101"/>
          <w:sz w:val="20"/>
          <w:szCs w:val="20"/>
          <w:shd w:val="clear" w:color="auto" w:fill="FFFFFF"/>
        </w:rPr>
        <w:t>Пинежского</w:t>
      </w:r>
      <w:proofErr w:type="spellEnd"/>
      <w:r w:rsidRPr="00A431DB">
        <w:rPr>
          <w:color w:val="010101"/>
          <w:sz w:val="20"/>
          <w:szCs w:val="20"/>
          <w:shd w:val="clear" w:color="auto" w:fill="FFFFFF"/>
        </w:rPr>
        <w:t xml:space="preserve"> муниципального района Архангельской области. </w:t>
      </w:r>
    </w:p>
    <w:p w:rsidR="00A431DB" w:rsidRPr="00A431DB" w:rsidRDefault="00A431DB" w:rsidP="00A431DB">
      <w:pPr>
        <w:ind w:firstLine="709"/>
        <w:jc w:val="both"/>
        <w:rPr>
          <w:color w:val="010101"/>
          <w:sz w:val="20"/>
          <w:szCs w:val="20"/>
          <w:shd w:val="clear" w:color="auto" w:fill="FFFFFF"/>
        </w:rPr>
      </w:pP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A431DB">
        <w:rPr>
          <w:b/>
          <w:bCs/>
          <w:sz w:val="20"/>
          <w:szCs w:val="20"/>
        </w:rPr>
        <w:t>Раздел 1. Анализ текущего состояния осуществления вида контроля</w:t>
      </w:r>
      <w:r w:rsidRPr="00A431DB">
        <w:rPr>
          <w:b/>
          <w:bCs/>
          <w:i/>
          <w:sz w:val="20"/>
          <w:szCs w:val="20"/>
        </w:rPr>
        <w:t>,</w:t>
      </w:r>
      <w:r w:rsidRPr="00A431DB">
        <w:rPr>
          <w:b/>
          <w:bCs/>
          <w:sz w:val="20"/>
          <w:szCs w:val="20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431DB" w:rsidRPr="00A431DB" w:rsidRDefault="00A431DB" w:rsidP="00A431D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 xml:space="preserve">1.1 Объектами при осуществлении муниципального контроля являются: </w:t>
      </w:r>
    </w:p>
    <w:p w:rsidR="00A431DB" w:rsidRPr="00A431DB" w:rsidRDefault="00A431DB" w:rsidP="00A431D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 xml:space="preserve"> - деятельность, действия (бездействие) контролируемых лиц в сфере благоустройства территории муниципального образования «Междуреченское» </w:t>
      </w:r>
      <w:proofErr w:type="spellStart"/>
      <w:r w:rsidRPr="00A431DB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A431DB">
        <w:rPr>
          <w:rFonts w:ascii="Times New Roman" w:hAnsi="Times New Roman" w:cs="Times New Roman"/>
          <w:sz w:val="20"/>
          <w:szCs w:val="20"/>
        </w:rPr>
        <w:t xml:space="preserve"> муниципального района Архангельской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431DB" w:rsidRPr="00A431DB" w:rsidRDefault="00A431DB" w:rsidP="00A431D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A431DB" w:rsidRPr="00A431DB" w:rsidRDefault="00A431DB" w:rsidP="00A431D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A431DB" w:rsidRPr="00A431DB" w:rsidRDefault="00A431DB" w:rsidP="00A431D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>1.2 Контролируемыми лицами при осуществлении муниципального контроля являются</w:t>
      </w:r>
      <w:r w:rsidRPr="00A431DB">
        <w:rPr>
          <w:sz w:val="20"/>
          <w:szCs w:val="20"/>
        </w:rPr>
        <w:t xml:space="preserve"> </w:t>
      </w:r>
      <w:r w:rsidRPr="00A431DB">
        <w:rPr>
          <w:rFonts w:eastAsia="Calibri"/>
          <w:sz w:val="20"/>
          <w:szCs w:val="20"/>
          <w:lang w:eastAsia="en-US"/>
        </w:rPr>
        <w:t xml:space="preserve">юридические и физические лица, индивидуальные предприниматели, религиозные организации (далее – подконтрольные субъекты). </w:t>
      </w:r>
    </w:p>
    <w:p w:rsidR="00A431DB" w:rsidRPr="00A431DB" w:rsidRDefault="00A431DB" w:rsidP="00A431D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 xml:space="preserve">1.3 Муниципальный контроль осуществляется администрацией муниципального образования «Междуреченское» </w:t>
      </w:r>
      <w:proofErr w:type="spellStart"/>
      <w:r w:rsidRPr="00A431DB">
        <w:rPr>
          <w:rFonts w:eastAsia="Calibri"/>
          <w:sz w:val="20"/>
          <w:szCs w:val="20"/>
          <w:lang w:eastAsia="en-US"/>
        </w:rPr>
        <w:t>Пинежского</w:t>
      </w:r>
      <w:proofErr w:type="spellEnd"/>
      <w:r w:rsidRPr="00A431D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A431DB">
        <w:rPr>
          <w:rFonts w:eastAsia="Calibri"/>
          <w:sz w:val="20"/>
          <w:szCs w:val="20"/>
          <w:lang w:eastAsia="en-US"/>
        </w:rPr>
        <w:t>мунициапльного</w:t>
      </w:r>
      <w:proofErr w:type="spellEnd"/>
      <w:r w:rsidRPr="00A431DB">
        <w:rPr>
          <w:rFonts w:eastAsia="Calibri"/>
          <w:sz w:val="20"/>
          <w:szCs w:val="20"/>
          <w:lang w:eastAsia="en-US"/>
        </w:rPr>
        <w:t xml:space="preserve"> района Архангельской области.</w:t>
      </w:r>
    </w:p>
    <w:p w:rsidR="00A431DB" w:rsidRPr="00A431DB" w:rsidRDefault="00A431DB" w:rsidP="00A431D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>1.4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A431DB" w:rsidRPr="00A431DB" w:rsidRDefault="00A431DB" w:rsidP="00A431D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A431DB">
        <w:rPr>
          <w:rFonts w:eastAsia="Calibri"/>
          <w:iCs/>
          <w:sz w:val="20"/>
          <w:szCs w:val="20"/>
          <w:lang w:eastAsia="en-US"/>
        </w:rPr>
        <w:t xml:space="preserve">1.5.  В целях предупреждения контролируемыми лицами нарушений обязательных требований, </w:t>
      </w:r>
      <w:r w:rsidRPr="00A431DB">
        <w:rPr>
          <w:rFonts w:eastAsia="Calibri"/>
          <w:sz w:val="20"/>
          <w:szCs w:val="20"/>
          <w:lang w:eastAsia="en-US"/>
        </w:rPr>
        <w:t>местной администрацией</w:t>
      </w:r>
      <w:r w:rsidRPr="00A431DB">
        <w:rPr>
          <w:rFonts w:eastAsia="Calibri"/>
          <w:i/>
          <w:sz w:val="20"/>
          <w:szCs w:val="20"/>
          <w:lang w:eastAsia="en-US"/>
        </w:rPr>
        <w:t xml:space="preserve"> </w:t>
      </w:r>
      <w:r w:rsidRPr="00A431DB">
        <w:rPr>
          <w:rFonts w:eastAsia="Calibri"/>
          <w:sz w:val="20"/>
          <w:szCs w:val="20"/>
          <w:lang w:eastAsia="en-US"/>
        </w:rPr>
        <w:t xml:space="preserve">осуществлялись мероприятия по профилактике </w:t>
      </w:r>
      <w:r w:rsidRPr="00A431DB">
        <w:rPr>
          <w:rFonts w:eastAsia="Calibri"/>
          <w:iCs/>
          <w:sz w:val="20"/>
          <w:szCs w:val="20"/>
          <w:lang w:eastAsia="en-US"/>
        </w:rPr>
        <w:t xml:space="preserve">нарушений в соответствии с программой профилактики нарушений обязательных требований и программой профилактики </w:t>
      </w:r>
      <w:r w:rsidRPr="00A431DB">
        <w:rPr>
          <w:sz w:val="20"/>
          <w:szCs w:val="20"/>
        </w:rPr>
        <w:t>рисков причинения вреда (ущерба) охраняемым законом ценностям</w:t>
      </w:r>
      <w:r w:rsidRPr="00A431DB">
        <w:rPr>
          <w:rFonts w:eastAsia="Calibri"/>
          <w:iCs/>
          <w:sz w:val="20"/>
          <w:szCs w:val="20"/>
          <w:lang w:eastAsia="en-US"/>
        </w:rPr>
        <w:t>.</w:t>
      </w:r>
    </w:p>
    <w:p w:rsidR="00A431DB" w:rsidRPr="00A431DB" w:rsidRDefault="00A431DB" w:rsidP="00A431D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A431DB">
        <w:rPr>
          <w:rFonts w:eastAsia="Calibri"/>
          <w:iCs/>
          <w:sz w:val="20"/>
          <w:szCs w:val="20"/>
          <w:lang w:eastAsia="en-US"/>
        </w:rPr>
        <w:t>1.6. Анализ текущего состояния осуществления вида муниципального контроля выполнен на основании данных 2021 года и истекший период 2022 года. В 2021 году плановая  проверка соблюдения правил благоустройства территории муниципального образования не проводилась. В 2022 году в соответствии с постановлением Правительства Российской Федерации от 10.03.2022 г. № 336 плановые проверки соблюдения правил благоустройства территории муниципального образования не проводились. Результатом проводимых в 2022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A431DB" w:rsidRPr="00A431DB" w:rsidRDefault="00A431DB" w:rsidP="00A431D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A431DB">
        <w:rPr>
          <w:rFonts w:eastAsia="Calibri"/>
          <w:iCs/>
          <w:sz w:val="20"/>
          <w:szCs w:val="20"/>
          <w:lang w:eastAsia="en-US"/>
        </w:rPr>
        <w:t>-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0 %;</w:t>
      </w:r>
    </w:p>
    <w:p w:rsidR="00A431DB" w:rsidRPr="00A431DB" w:rsidRDefault="00A431DB" w:rsidP="00A431D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A431DB">
        <w:rPr>
          <w:rFonts w:eastAsia="Calibri"/>
          <w:iCs/>
          <w:sz w:val="20"/>
          <w:szCs w:val="20"/>
          <w:lang w:eastAsia="en-US"/>
        </w:rPr>
        <w:t>- 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0%;</w:t>
      </w:r>
    </w:p>
    <w:p w:rsidR="00A431DB" w:rsidRPr="00A431DB" w:rsidRDefault="00A431DB" w:rsidP="00A431D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A431DB">
        <w:rPr>
          <w:rFonts w:eastAsia="Calibri"/>
          <w:iCs/>
          <w:sz w:val="20"/>
          <w:szCs w:val="20"/>
          <w:lang w:eastAsia="en-US"/>
        </w:rPr>
        <w:t>1.7.  В 2021 и 2022 году нарушений выявлено не было.</w:t>
      </w:r>
      <w:r w:rsidRPr="00A431DB">
        <w:rPr>
          <w:iCs/>
          <w:sz w:val="20"/>
          <w:szCs w:val="20"/>
          <w:vertAlign w:val="superscript"/>
        </w:rPr>
        <w:footnoteReference w:id="1"/>
      </w:r>
    </w:p>
    <w:p w:rsidR="00A431DB" w:rsidRPr="00A431DB" w:rsidRDefault="00A431DB" w:rsidP="00A431D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A431DB">
        <w:rPr>
          <w:rFonts w:eastAsia="Calibri"/>
          <w:iCs/>
          <w:sz w:val="20"/>
          <w:szCs w:val="20"/>
          <w:lang w:eastAsia="en-US"/>
        </w:rPr>
        <w:t xml:space="preserve">1.8.  К числу профилактических мероприятий, предусмотренных положением о муниципальном контроле в сфере благоустройства на территории муниципального образования «Междуреченское» </w:t>
      </w:r>
      <w:proofErr w:type="spellStart"/>
      <w:r w:rsidRPr="00A431DB">
        <w:rPr>
          <w:rFonts w:eastAsia="Calibri"/>
          <w:iCs/>
          <w:sz w:val="20"/>
          <w:szCs w:val="20"/>
          <w:lang w:eastAsia="en-US"/>
        </w:rPr>
        <w:t>Пинежского</w:t>
      </w:r>
      <w:proofErr w:type="spellEnd"/>
      <w:r w:rsidRPr="00A431DB">
        <w:rPr>
          <w:rFonts w:eastAsia="Calibri"/>
          <w:iCs/>
          <w:sz w:val="20"/>
          <w:szCs w:val="20"/>
          <w:lang w:eastAsia="en-US"/>
        </w:rPr>
        <w:t xml:space="preserve"> муниципального  района Архангельской области, отнесены:</w:t>
      </w:r>
    </w:p>
    <w:p w:rsidR="00A431DB" w:rsidRPr="00A431DB" w:rsidRDefault="00A431DB" w:rsidP="00A431DB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2" w:name="Par175"/>
      <w:bookmarkEnd w:id="2"/>
      <w:r w:rsidRPr="00A431DB">
        <w:rPr>
          <w:rFonts w:ascii="Times New Roman" w:hAnsi="Times New Roman" w:cs="Times New Roman"/>
          <w:sz w:val="20"/>
          <w:szCs w:val="20"/>
        </w:rPr>
        <w:t xml:space="preserve">     1). информирование;</w:t>
      </w:r>
    </w:p>
    <w:p w:rsidR="00A431DB" w:rsidRPr="00A431DB" w:rsidRDefault="00A431DB" w:rsidP="00A431DB">
      <w:pPr>
        <w:pStyle w:val="a9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 xml:space="preserve">     2) обобщение правоприменительной практики;</w:t>
      </w:r>
    </w:p>
    <w:p w:rsidR="00A431DB" w:rsidRPr="00A431DB" w:rsidRDefault="00A431DB" w:rsidP="00A431DB">
      <w:pPr>
        <w:pStyle w:val="a9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 xml:space="preserve">     3) объявление предостережения;</w:t>
      </w:r>
    </w:p>
    <w:p w:rsidR="00A431DB" w:rsidRPr="00A431DB" w:rsidRDefault="00A431DB" w:rsidP="00A431DB">
      <w:pPr>
        <w:pStyle w:val="a9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 xml:space="preserve">     4) консультирование;</w:t>
      </w:r>
    </w:p>
    <w:p w:rsidR="00A431DB" w:rsidRPr="00A431DB" w:rsidRDefault="00A431DB" w:rsidP="00A431DB">
      <w:pPr>
        <w:pStyle w:val="a9"/>
        <w:rPr>
          <w:rFonts w:ascii="Times New Roman" w:hAnsi="Times New Roman" w:cs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 xml:space="preserve">     5) профилактический визит.</w:t>
      </w:r>
    </w:p>
    <w:p w:rsidR="00A431DB" w:rsidRPr="00A431DB" w:rsidRDefault="00A431DB" w:rsidP="00A431DB">
      <w:pPr>
        <w:autoSpaceDE w:val="0"/>
        <w:autoSpaceDN w:val="0"/>
        <w:adjustRightInd w:val="0"/>
        <w:jc w:val="center"/>
        <w:outlineLvl w:val="1"/>
        <w:rPr>
          <w:rFonts w:eastAsia="Calibri"/>
          <w:iCs/>
          <w:sz w:val="20"/>
          <w:szCs w:val="20"/>
          <w:lang w:eastAsia="en-US"/>
        </w:rPr>
      </w:pPr>
    </w:p>
    <w:p w:rsidR="00A431DB" w:rsidRPr="00A431DB" w:rsidRDefault="00A431DB" w:rsidP="00A431DB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A431DB">
        <w:rPr>
          <w:b/>
          <w:bCs/>
          <w:sz w:val="20"/>
          <w:szCs w:val="20"/>
        </w:rPr>
        <w:t>Раздел 2. Цели и задачи реализации программы профилактики</w:t>
      </w: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A431DB" w:rsidRPr="00A431DB" w:rsidRDefault="00A431DB" w:rsidP="00A431D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>2.1 Основными целями Программы профилактики являются:</w:t>
      </w:r>
    </w:p>
    <w:p w:rsidR="00A431DB" w:rsidRPr="00A431DB" w:rsidRDefault="00A431DB" w:rsidP="00A431D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>2.1.1 Стимулирование добросовестного соблюдения обязательных требований всеми контролируемыми лицами;</w:t>
      </w:r>
    </w:p>
    <w:p w:rsidR="00A431DB" w:rsidRPr="00A431DB" w:rsidRDefault="00A431DB" w:rsidP="00A431D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431DB" w:rsidRPr="00A431DB" w:rsidRDefault="00A431DB" w:rsidP="00A431DB">
      <w:pPr>
        <w:ind w:firstLine="709"/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lastRenderedPageBreak/>
        <w:t>2.1.3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31DB" w:rsidRPr="00A431DB" w:rsidRDefault="00A431DB" w:rsidP="00A431D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431DB">
        <w:rPr>
          <w:rFonts w:eastAsia="Calibri"/>
          <w:sz w:val="20"/>
          <w:szCs w:val="20"/>
          <w:lang w:eastAsia="en-US"/>
        </w:rPr>
        <w:t>2.2 Проведение профилактических мероприятий программы профилактики направлено на решение следующих задач:</w:t>
      </w:r>
    </w:p>
    <w:p w:rsidR="00A431DB" w:rsidRPr="00A431DB" w:rsidRDefault="00A431DB" w:rsidP="00A431D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A431DB">
        <w:rPr>
          <w:rFonts w:eastAsia="Calibri"/>
          <w:sz w:val="20"/>
          <w:szCs w:val="20"/>
        </w:rPr>
        <w:t>2.2.1 Укрепление системы профилактики нарушений рисков причинения вреда (ущерба) охраняемым законом ценностям;</w:t>
      </w:r>
    </w:p>
    <w:p w:rsidR="00A431DB" w:rsidRPr="00A431DB" w:rsidRDefault="00A431DB" w:rsidP="00A431D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A431DB">
        <w:rPr>
          <w:rFonts w:eastAsia="Calibri"/>
          <w:sz w:val="20"/>
          <w:szCs w:val="20"/>
        </w:rPr>
        <w:t>2.2.2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431DB" w:rsidRPr="00A431DB" w:rsidRDefault="00A431DB" w:rsidP="00A431D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A431DB">
        <w:rPr>
          <w:rFonts w:eastAsia="Calibri"/>
          <w:sz w:val="20"/>
          <w:szCs w:val="20"/>
        </w:rPr>
        <w:t>2.2.3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431DB" w:rsidRPr="00A431DB" w:rsidRDefault="00A431DB" w:rsidP="00A431D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A431DB">
        <w:rPr>
          <w:rFonts w:eastAsia="Calibri"/>
          <w:sz w:val="20"/>
          <w:szCs w:val="20"/>
        </w:rPr>
        <w:t>2.2.4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431DB" w:rsidRPr="00A431DB" w:rsidRDefault="00A431DB" w:rsidP="00A431D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A431DB">
        <w:rPr>
          <w:rFonts w:eastAsia="Calibri"/>
          <w:sz w:val="20"/>
          <w:szCs w:val="20"/>
        </w:rPr>
        <w:t>2.2.5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A431DB" w:rsidRPr="00A431DB" w:rsidRDefault="00A431DB" w:rsidP="00A431DB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A431DB">
        <w:rPr>
          <w:rFonts w:eastAsia="Calibri"/>
          <w:sz w:val="20"/>
          <w:szCs w:val="20"/>
        </w:rPr>
        <w:t>2.2.6 Формирование единого понимания обязательных требований законодательства у всех участников контрольной деятельности.</w:t>
      </w:r>
    </w:p>
    <w:p w:rsidR="00A431DB" w:rsidRPr="00A431DB" w:rsidRDefault="00A431DB" w:rsidP="00A431DB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  <w:highlight w:val="yellow"/>
        </w:rPr>
      </w:pP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A431DB">
        <w:rPr>
          <w:b/>
          <w:bCs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:rsidR="00A431DB" w:rsidRPr="00A431DB" w:rsidRDefault="00A431DB" w:rsidP="00A431DB">
      <w:pPr>
        <w:pStyle w:val="ConsPlusNormal"/>
        <w:ind w:firstLine="709"/>
        <w:jc w:val="both"/>
        <w:rPr>
          <w:sz w:val="20"/>
        </w:rPr>
      </w:pPr>
    </w:p>
    <w:tbl>
      <w:tblPr>
        <w:tblpPr w:leftFromText="180" w:rightFromText="180" w:vertAnchor="text" w:horzAnchor="margin" w:tblpXSpec="center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2060"/>
        <w:gridCol w:w="2268"/>
        <w:gridCol w:w="2126"/>
      </w:tblGrid>
      <w:tr w:rsidR="00A431DB" w:rsidRPr="00A431DB" w:rsidTr="007109B5">
        <w:trPr>
          <w:trHeight w:val="3282"/>
        </w:trPr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П№ п/п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ConsPlusNormal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Срок исполнения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Ожидаемые результаты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ind w:firstLine="13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Ответственный исполнитель</w:t>
            </w:r>
          </w:p>
        </w:tc>
      </w:tr>
      <w:tr w:rsidR="00A431DB" w:rsidRPr="00A431DB" w:rsidTr="007109B5"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2</w:t>
            </w: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5</w:t>
            </w:r>
          </w:p>
        </w:tc>
      </w:tr>
      <w:tr w:rsidR="00A431DB" w:rsidRPr="00A431DB" w:rsidTr="007109B5"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11.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 xml:space="preserve">Информирование </w:t>
            </w:r>
          </w:p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A431DB" w:rsidRPr="00A431DB" w:rsidRDefault="00A431DB" w:rsidP="007109B5">
            <w:pPr>
              <w:pStyle w:val="ConsPlusNormal"/>
              <w:ind w:hanging="30"/>
              <w:rPr>
                <w:sz w:val="20"/>
              </w:rPr>
            </w:pPr>
            <w:r w:rsidRPr="00A431DB">
              <w:rPr>
                <w:sz w:val="20"/>
              </w:rPr>
              <w:t>размещения соответствующих сведений  в информационном бюллетене органов местного самоуправления МО «Междуреченское», на  официальном сайте администрации МО «</w:t>
            </w:r>
            <w:proofErr w:type="spellStart"/>
            <w:r w:rsidRPr="00A431DB">
              <w:rPr>
                <w:sz w:val="20"/>
              </w:rPr>
              <w:t>Пинежский</w:t>
            </w:r>
            <w:proofErr w:type="spellEnd"/>
            <w:r w:rsidRPr="00A431DB">
              <w:rPr>
                <w:sz w:val="20"/>
              </w:rPr>
              <w:t xml:space="preserve"> муниципальный район» (раздел МО «Междуреченское») и в иных формах</w:t>
            </w: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proofErr w:type="spellStart"/>
            <w:r w:rsidRPr="00A431DB">
              <w:rPr>
                <w:sz w:val="20"/>
              </w:rPr>
              <w:t>Осведомляемость</w:t>
            </w:r>
            <w:proofErr w:type="spellEnd"/>
            <w:r w:rsidRPr="00A431DB">
              <w:rPr>
                <w:sz w:val="20"/>
              </w:rPr>
              <w:t xml:space="preserve"> проверяемых лиц о мерах, необходимых для соблюдения обязательных требований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Администрация</w:t>
            </w:r>
          </w:p>
        </w:tc>
      </w:tr>
      <w:tr w:rsidR="00A431DB" w:rsidRPr="00A431DB" w:rsidTr="007109B5"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42.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 xml:space="preserve">Объявление предостережений о недопустимости нарушения </w:t>
            </w:r>
            <w:r w:rsidRPr="00A431DB">
              <w:rPr>
                <w:sz w:val="20"/>
              </w:rPr>
              <w:lastRenderedPageBreak/>
              <w:t>обязательных требований в соответствии со  статьей 49 Федерального закона от 31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lastRenderedPageBreak/>
              <w:t>В течение года (по мере необходимости)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 xml:space="preserve">Недопущение нарушений обязательных </w:t>
            </w:r>
            <w:r w:rsidRPr="00A431DB">
              <w:rPr>
                <w:sz w:val="20"/>
              </w:rPr>
              <w:lastRenderedPageBreak/>
              <w:t>требований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lastRenderedPageBreak/>
              <w:t>Администрация</w:t>
            </w:r>
          </w:p>
        </w:tc>
      </w:tr>
      <w:tr w:rsidR="00A431DB" w:rsidRPr="00A431DB" w:rsidTr="007109B5"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left="-172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Консультирование:</w:t>
            </w:r>
          </w:p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 xml:space="preserve">по телефону, на личном приеме  </w:t>
            </w: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Администрация</w:t>
            </w:r>
          </w:p>
        </w:tc>
      </w:tr>
      <w:tr w:rsidR="00A431DB" w:rsidRPr="00A431DB" w:rsidTr="007109B5"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left="-172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431DB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В конце года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Администрация</w:t>
            </w:r>
          </w:p>
        </w:tc>
      </w:tr>
      <w:tr w:rsidR="00A431DB" w:rsidRPr="00A431DB" w:rsidTr="007109B5">
        <w:tc>
          <w:tcPr>
            <w:tcW w:w="771" w:type="dxa"/>
          </w:tcPr>
          <w:p w:rsidR="00A431DB" w:rsidRPr="00A431DB" w:rsidRDefault="00A431DB" w:rsidP="007109B5">
            <w:pPr>
              <w:pStyle w:val="ConsPlusNormal"/>
              <w:ind w:left="-172"/>
              <w:jc w:val="center"/>
              <w:rPr>
                <w:sz w:val="20"/>
              </w:rPr>
            </w:pPr>
            <w:r w:rsidRPr="00A431DB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A431DB" w:rsidRPr="00A431DB" w:rsidRDefault="00A431DB" w:rsidP="007109B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431DB">
              <w:rPr>
                <w:rFonts w:ascii="Times New Roman" w:hAnsi="Times New Roman" w:cs="Times New Roman"/>
                <w:sz w:val="20"/>
                <w:szCs w:val="20"/>
              </w:rPr>
              <w:t>Профилактические визиты</w:t>
            </w:r>
          </w:p>
        </w:tc>
        <w:tc>
          <w:tcPr>
            <w:tcW w:w="2060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В течение года</w:t>
            </w:r>
          </w:p>
        </w:tc>
        <w:tc>
          <w:tcPr>
            <w:tcW w:w="2268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A431DB" w:rsidRPr="00A431DB" w:rsidRDefault="00A431DB" w:rsidP="007109B5">
            <w:pPr>
              <w:pStyle w:val="ConsPlusNormal"/>
              <w:rPr>
                <w:sz w:val="20"/>
              </w:rPr>
            </w:pPr>
            <w:r w:rsidRPr="00A431DB">
              <w:rPr>
                <w:sz w:val="20"/>
              </w:rPr>
              <w:t>Администрация</w:t>
            </w:r>
          </w:p>
        </w:tc>
      </w:tr>
    </w:tbl>
    <w:p w:rsidR="00A431DB" w:rsidRPr="00A431DB" w:rsidRDefault="00A431DB" w:rsidP="00A431DB">
      <w:pPr>
        <w:autoSpaceDE w:val="0"/>
        <w:autoSpaceDN w:val="0"/>
        <w:adjustRightInd w:val="0"/>
        <w:jc w:val="both"/>
        <w:outlineLvl w:val="1"/>
        <w:rPr>
          <w:bCs/>
          <w:i/>
          <w:sz w:val="20"/>
          <w:szCs w:val="20"/>
        </w:rPr>
      </w:pP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A431DB">
        <w:rPr>
          <w:b/>
          <w:bCs/>
          <w:sz w:val="20"/>
          <w:szCs w:val="20"/>
        </w:rPr>
        <w:t>Раздел 4. Показатели результативности и эффективности программы профилактики рисков причинения вреда</w:t>
      </w:r>
    </w:p>
    <w:p w:rsidR="00A431DB" w:rsidRPr="00A431DB" w:rsidRDefault="00A431DB" w:rsidP="00A431D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A431DB" w:rsidRPr="00A431DB" w:rsidRDefault="00A431DB" w:rsidP="00A431DB">
      <w:pPr>
        <w:pStyle w:val="a9"/>
        <w:ind w:firstLine="709"/>
        <w:jc w:val="both"/>
        <w:rPr>
          <w:rFonts w:ascii="Times New Roman" w:hAnsi="Times New Roman"/>
          <w:sz w:val="20"/>
          <w:szCs w:val="20"/>
        </w:rPr>
      </w:pPr>
      <w:r w:rsidRPr="00A431DB">
        <w:rPr>
          <w:rFonts w:ascii="Times New Roman" w:hAnsi="Times New Roman" w:cs="Times New Roman"/>
          <w:sz w:val="20"/>
          <w:szCs w:val="20"/>
        </w:rPr>
        <w:t xml:space="preserve">4.1 </w:t>
      </w:r>
      <w:r w:rsidRPr="00A431DB">
        <w:rPr>
          <w:rFonts w:ascii="Times New Roman" w:hAnsi="Times New Roman" w:cs="Times New Roman"/>
          <w:bCs/>
          <w:sz w:val="20"/>
          <w:szCs w:val="20"/>
        </w:rPr>
        <w:t xml:space="preserve">Оценка </w:t>
      </w:r>
      <w:r w:rsidRPr="00A431DB">
        <w:rPr>
          <w:rFonts w:ascii="Times New Roman" w:hAnsi="Times New Roman"/>
          <w:sz w:val="20"/>
          <w:szCs w:val="20"/>
        </w:rPr>
        <w:t>результативности и эффективности Программы осуществляется в течение периода её реализации. Отчетными показателями результативности и эффективности программы профилактики на 2023 год являются:</w:t>
      </w:r>
    </w:p>
    <w:p w:rsidR="00A431DB" w:rsidRPr="00A431DB" w:rsidRDefault="00A431DB" w:rsidP="00A431DB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6550"/>
        <w:gridCol w:w="2639"/>
      </w:tblGrid>
      <w:tr w:rsidR="00A431DB" w:rsidRPr="00A431DB" w:rsidTr="007109B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№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Целевое значение</w:t>
            </w:r>
          </w:p>
        </w:tc>
      </w:tr>
      <w:tr w:rsidR="00A431DB" w:rsidRPr="00A431DB" w:rsidTr="007109B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 xml:space="preserve">Устранение нарушений обязательных требований, связанных с осуществлением земляных работ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80 %</w:t>
            </w:r>
          </w:p>
        </w:tc>
      </w:tr>
      <w:tr w:rsidR="00A431DB" w:rsidRPr="00A431DB" w:rsidTr="007109B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Устранение нарушений обязательных требований, связанных с уборкой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50 %</w:t>
            </w:r>
          </w:p>
        </w:tc>
      </w:tr>
      <w:tr w:rsidR="00A431DB" w:rsidRPr="00A431DB" w:rsidTr="007109B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Устранение нарушений обязательных требований, связанных с невыполнением или ненадлежащим выполнением работ по уборке снега, наледи и (или) удалению сосулек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100 %</w:t>
            </w:r>
          </w:p>
        </w:tc>
      </w:tr>
      <w:tr w:rsidR="00A431DB" w:rsidRPr="00A431DB" w:rsidTr="007109B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 xml:space="preserve">Информированность лиц, в действиях которых выявлены нарушения, связанные с размещением транспортных средств на территориях, занятых травянистыми растениями, о порядке устройства парковок на придомовых территориях, а также о порядке устройства ограждений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  <w:lang w:val="en-US"/>
              </w:rPr>
              <w:t>9</w:t>
            </w:r>
            <w:r w:rsidRPr="00A431DB">
              <w:rPr>
                <w:sz w:val="20"/>
                <w:szCs w:val="20"/>
              </w:rPr>
              <w:t>0 %</w:t>
            </w:r>
          </w:p>
        </w:tc>
      </w:tr>
      <w:tr w:rsidR="00A431DB" w:rsidRPr="00A431DB" w:rsidTr="007109B5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1DB" w:rsidRPr="00A431DB" w:rsidRDefault="00A431DB" w:rsidP="007109B5">
            <w:pPr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DB" w:rsidRPr="00A431DB" w:rsidRDefault="00A431DB" w:rsidP="007109B5">
            <w:pPr>
              <w:jc w:val="center"/>
              <w:rPr>
                <w:sz w:val="20"/>
                <w:szCs w:val="20"/>
              </w:rPr>
            </w:pPr>
            <w:r w:rsidRPr="00A431DB">
              <w:rPr>
                <w:sz w:val="20"/>
                <w:szCs w:val="20"/>
              </w:rPr>
              <w:t>100 %</w:t>
            </w:r>
          </w:p>
        </w:tc>
      </w:tr>
    </w:tbl>
    <w:p w:rsidR="00A431DB" w:rsidRPr="00A431DB" w:rsidRDefault="00A431DB" w:rsidP="00A431DB">
      <w:pPr>
        <w:autoSpaceDE w:val="0"/>
        <w:autoSpaceDN w:val="0"/>
        <w:adjustRightInd w:val="0"/>
        <w:ind w:firstLine="539"/>
        <w:jc w:val="both"/>
        <w:rPr>
          <w:iCs/>
          <w:sz w:val="20"/>
          <w:szCs w:val="20"/>
        </w:rPr>
      </w:pPr>
    </w:p>
    <w:p w:rsidR="00A431DB" w:rsidRPr="00A431DB" w:rsidRDefault="00A431DB" w:rsidP="00A431DB">
      <w:pPr>
        <w:autoSpaceDE w:val="0"/>
        <w:autoSpaceDN w:val="0"/>
        <w:adjustRightInd w:val="0"/>
        <w:ind w:firstLine="539"/>
        <w:jc w:val="both"/>
        <w:rPr>
          <w:iCs/>
          <w:sz w:val="20"/>
          <w:szCs w:val="20"/>
          <w:highlight w:val="yellow"/>
        </w:rPr>
      </w:pPr>
      <w:r w:rsidRPr="00A431DB">
        <w:rPr>
          <w:iCs/>
          <w:sz w:val="20"/>
          <w:szCs w:val="20"/>
        </w:rPr>
        <w:t xml:space="preserve">4.2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«Междуреченское» </w:t>
      </w:r>
      <w:proofErr w:type="spellStart"/>
      <w:r w:rsidRPr="00A431DB">
        <w:rPr>
          <w:iCs/>
          <w:sz w:val="20"/>
          <w:szCs w:val="20"/>
        </w:rPr>
        <w:t>Пинежского</w:t>
      </w:r>
      <w:proofErr w:type="spellEnd"/>
      <w:r w:rsidRPr="00A431DB">
        <w:rPr>
          <w:iCs/>
          <w:sz w:val="20"/>
          <w:szCs w:val="20"/>
        </w:rPr>
        <w:t xml:space="preserve"> муниципального района Архангельской области на 2023 год.</w:t>
      </w:r>
    </w:p>
    <w:p w:rsidR="003652EA" w:rsidRDefault="003652EA">
      <w:pPr>
        <w:rPr>
          <w:sz w:val="20"/>
          <w:szCs w:val="20"/>
        </w:rPr>
      </w:pPr>
    </w:p>
    <w:p w:rsidR="00A431DB" w:rsidRDefault="00A431DB">
      <w:pPr>
        <w:rPr>
          <w:sz w:val="20"/>
          <w:szCs w:val="20"/>
        </w:rPr>
      </w:pPr>
    </w:p>
    <w:p w:rsidR="00A431DB" w:rsidRDefault="00A431DB" w:rsidP="00A431D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A431DB" w:rsidRDefault="00A431DB" w:rsidP="00A431DB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A431DB" w:rsidRPr="00A431DB" w:rsidRDefault="00A431DB" w:rsidP="00A431DB">
      <w:pPr>
        <w:jc w:val="right"/>
        <w:rPr>
          <w:sz w:val="20"/>
          <w:szCs w:val="20"/>
        </w:rPr>
      </w:pPr>
      <w:bookmarkStart w:id="3" w:name="_GoBack"/>
      <w:bookmarkEnd w:id="3"/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sectPr w:rsidR="00A431DB" w:rsidRPr="00A4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57" w:rsidRDefault="00916257" w:rsidP="00A431DB">
      <w:r>
        <w:separator/>
      </w:r>
    </w:p>
  </w:endnote>
  <w:endnote w:type="continuationSeparator" w:id="0">
    <w:p w:rsidR="00916257" w:rsidRDefault="00916257" w:rsidP="00A4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57" w:rsidRDefault="00916257" w:rsidP="00A431DB">
      <w:r>
        <w:separator/>
      </w:r>
    </w:p>
  </w:footnote>
  <w:footnote w:type="continuationSeparator" w:id="0">
    <w:p w:rsidR="00916257" w:rsidRDefault="00916257" w:rsidP="00A431DB">
      <w:r>
        <w:continuationSeparator/>
      </w:r>
    </w:p>
  </w:footnote>
  <w:footnote w:id="1">
    <w:p w:rsidR="00A431DB" w:rsidRDefault="00A431DB" w:rsidP="00A431DB">
      <w:pPr>
        <w:pStyle w:val="a6"/>
      </w:pPr>
      <w:r>
        <w:rPr>
          <w:rStyle w:val="a8"/>
        </w:rPr>
        <w:footnoteRef/>
      </w:r>
      <w:r>
        <w:t xml:space="preserve"> При наличии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DB"/>
    <w:rsid w:val="003652EA"/>
    <w:rsid w:val="00916257"/>
    <w:rsid w:val="00A431DB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52C0"/>
  <w15:chartTrackingRefBased/>
  <w15:docId w15:val="{E1A9F6A3-FA76-48F5-B187-EA8F69B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31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31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A43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rsid w:val="00A431D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43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A431DB"/>
    <w:rPr>
      <w:vertAlign w:val="superscript"/>
    </w:rPr>
  </w:style>
  <w:style w:type="paragraph" w:styleId="a9">
    <w:name w:val="No Spacing"/>
    <w:uiPriority w:val="1"/>
    <w:qFormat/>
    <w:rsid w:val="00A431D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A431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1DB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A43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2022-11-08T12:23:00Z</dcterms:created>
  <dcterms:modified xsi:type="dcterms:W3CDTF">2022-11-08T12:26:00Z</dcterms:modified>
</cp:coreProperties>
</file>