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9" w:rsidRPr="00746C6B" w:rsidRDefault="00746C6B" w:rsidP="0074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6B">
        <w:rPr>
          <w:rFonts w:ascii="Times New Roman" w:hAnsi="Times New Roman" w:cs="Times New Roman"/>
          <w:b/>
          <w:sz w:val="28"/>
          <w:szCs w:val="28"/>
        </w:rPr>
        <w:t>С 2021 года годовая бухгалтерская отчетность представляется только в электронном виде</w:t>
      </w:r>
    </w:p>
    <w:p w:rsidR="00746C6B" w:rsidRDefault="00746C6B" w:rsidP="00746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C6B" w:rsidRPr="00746C6B" w:rsidRDefault="00746C6B" w:rsidP="00FA2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C6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43815</wp:posOffset>
            </wp:positionV>
            <wp:extent cx="2292350" cy="1612900"/>
            <wp:effectExtent l="0" t="0" r="0" b="6350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C6B">
        <w:rPr>
          <w:rFonts w:ascii="Times New Roman" w:hAnsi="Times New Roman" w:cs="Times New Roman"/>
          <w:sz w:val="26"/>
          <w:szCs w:val="26"/>
        </w:rPr>
        <w:t>С 2021 года юридические лица обязаны представлять в налоговые органы годовую бухгалтерскую и финансовую отчетность, аудиторское заключение только в электронном виде.</w:t>
      </w:r>
    </w:p>
    <w:p w:rsidR="00746C6B" w:rsidRPr="00746C6B" w:rsidRDefault="00746C6B" w:rsidP="00FA2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6C6B">
        <w:rPr>
          <w:rFonts w:ascii="Times New Roman" w:hAnsi="Times New Roman" w:cs="Times New Roman"/>
          <w:sz w:val="26"/>
          <w:szCs w:val="26"/>
        </w:rPr>
        <w:t>Бухгалтерскую (финансовую) отчетность нужно сдать не позднее 31 марта, корректировки в нее общества с ограниченной ответственностью могут вносить до 30 апреля (плюс 10 дней), акционерные общества – до 30 июня (плюс 10 дней), аудиторское заключение предоставляется, соответственно, до 30 апреля или 30 июня или через 10 дней после его получения, но не позднее 31 декабря.</w:t>
      </w:r>
      <w:proofErr w:type="gramEnd"/>
    </w:p>
    <w:p w:rsidR="00746C6B" w:rsidRPr="00746C6B" w:rsidRDefault="00746C6B" w:rsidP="00FA2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C6B">
        <w:rPr>
          <w:rFonts w:ascii="Times New Roman" w:hAnsi="Times New Roman" w:cs="Times New Roman"/>
          <w:sz w:val="26"/>
          <w:szCs w:val="26"/>
        </w:rPr>
        <w:t xml:space="preserve">На основании отчетности организаций формируется Государственный информационный ресурс бухгалтерской (финансовой) отчетности (ГИР БО), ведение которого с 2019 года осуществляет ФНС России (ранее – </w:t>
      </w:r>
      <w:proofErr w:type="spellStart"/>
      <w:r w:rsidRPr="00746C6B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746C6B">
        <w:rPr>
          <w:rFonts w:ascii="Times New Roman" w:hAnsi="Times New Roman" w:cs="Times New Roman"/>
          <w:sz w:val="26"/>
          <w:szCs w:val="26"/>
        </w:rPr>
        <w:t xml:space="preserve">). Интернет-сервис ГИР БО на сайте www.nalog.ru (Сервисы и </w:t>
      </w:r>
      <w:proofErr w:type="spellStart"/>
      <w:r w:rsidRPr="00746C6B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746C6B">
        <w:rPr>
          <w:rFonts w:ascii="Times New Roman" w:hAnsi="Times New Roman" w:cs="Times New Roman"/>
          <w:sz w:val="26"/>
          <w:szCs w:val="26"/>
        </w:rPr>
        <w:t>/ Сведения из реестров/ ГИР БО) позволяет всем пользовате</w:t>
      </w:r>
      <w:bookmarkStart w:id="0" w:name="_GoBack"/>
      <w:bookmarkEnd w:id="0"/>
      <w:r w:rsidRPr="00746C6B">
        <w:rPr>
          <w:rFonts w:ascii="Times New Roman" w:hAnsi="Times New Roman" w:cs="Times New Roman"/>
          <w:sz w:val="26"/>
          <w:szCs w:val="26"/>
        </w:rPr>
        <w:t>лям, не посещая налоговый орган, бесплатно получать информацию из данного ресурса об отчетности любой организации. При этом скачанный документ будет заверен электронной подписью ФНС России, имеющей ту же юридическую значимость, что и синяя печать.</w:t>
      </w:r>
    </w:p>
    <w:sectPr w:rsidR="00746C6B" w:rsidRPr="0074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B"/>
    <w:rsid w:val="00545349"/>
    <w:rsid w:val="007022D7"/>
    <w:rsid w:val="00746C6B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2021-03-02T11:57:00Z</dcterms:created>
  <dcterms:modified xsi:type="dcterms:W3CDTF">2021-03-03T09:10:00Z</dcterms:modified>
</cp:coreProperties>
</file>