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CA2" w:rsidRPr="008253DB" w:rsidRDefault="00A02CA2" w:rsidP="00A02CA2">
      <w:pPr>
        <w:jc w:val="center"/>
        <w:rPr>
          <w:sz w:val="28"/>
          <w:szCs w:val="28"/>
        </w:rPr>
      </w:pPr>
      <w:r w:rsidRPr="008253DB">
        <w:rPr>
          <w:sz w:val="28"/>
          <w:szCs w:val="28"/>
        </w:rPr>
        <w:t xml:space="preserve">Архангельская область </w:t>
      </w:r>
    </w:p>
    <w:p w:rsidR="00A02CA2" w:rsidRPr="008253DB" w:rsidRDefault="00A02CA2" w:rsidP="00A02CA2">
      <w:pPr>
        <w:jc w:val="center"/>
        <w:rPr>
          <w:sz w:val="28"/>
          <w:szCs w:val="28"/>
        </w:rPr>
      </w:pPr>
      <w:proofErr w:type="spellStart"/>
      <w:r w:rsidRPr="008253DB">
        <w:rPr>
          <w:sz w:val="28"/>
          <w:szCs w:val="28"/>
        </w:rPr>
        <w:t>Пинежский</w:t>
      </w:r>
      <w:proofErr w:type="spellEnd"/>
      <w:r w:rsidRPr="008253DB">
        <w:rPr>
          <w:sz w:val="28"/>
          <w:szCs w:val="28"/>
        </w:rPr>
        <w:t xml:space="preserve"> муниципальный район</w:t>
      </w:r>
    </w:p>
    <w:p w:rsidR="00A02CA2" w:rsidRPr="003945F7" w:rsidRDefault="00A02CA2" w:rsidP="00A02CA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АДМИНИСТРАЦИЯ </w:t>
      </w:r>
      <w:r w:rsidRPr="003945F7">
        <w:rPr>
          <w:sz w:val="28"/>
          <w:szCs w:val="28"/>
        </w:rPr>
        <w:t xml:space="preserve"> МУНИЦИПАЛЬНОГО</w:t>
      </w:r>
      <w:proofErr w:type="gramEnd"/>
      <w:r w:rsidRPr="003945F7">
        <w:rPr>
          <w:sz w:val="28"/>
          <w:szCs w:val="28"/>
        </w:rPr>
        <w:t xml:space="preserve"> ОБРАЗОВАНИЯ</w:t>
      </w:r>
    </w:p>
    <w:p w:rsidR="00A02CA2" w:rsidRPr="003945F7" w:rsidRDefault="00A02CA2" w:rsidP="00A02CA2">
      <w:pPr>
        <w:jc w:val="center"/>
        <w:rPr>
          <w:sz w:val="28"/>
          <w:szCs w:val="28"/>
        </w:rPr>
      </w:pPr>
      <w:proofErr w:type="gramStart"/>
      <w:r w:rsidRPr="003945F7">
        <w:rPr>
          <w:sz w:val="28"/>
          <w:szCs w:val="28"/>
        </w:rPr>
        <w:t>« МЕЖДУРЕЧЕНСКОЕ</w:t>
      </w:r>
      <w:proofErr w:type="gramEnd"/>
      <w:r w:rsidRPr="003945F7">
        <w:rPr>
          <w:sz w:val="28"/>
          <w:szCs w:val="28"/>
        </w:rPr>
        <w:t xml:space="preserve"> »</w:t>
      </w:r>
    </w:p>
    <w:p w:rsidR="00A02CA2" w:rsidRDefault="00A02CA2" w:rsidP="00A02CA2">
      <w:pPr>
        <w:pBdr>
          <w:bottom w:val="single" w:sz="4" w:space="1" w:color="auto"/>
        </w:pBdr>
        <w:jc w:val="center"/>
        <w:rPr>
          <w:sz w:val="28"/>
        </w:rPr>
      </w:pPr>
    </w:p>
    <w:p w:rsidR="00A02CA2" w:rsidRDefault="00A02CA2" w:rsidP="00A02CA2">
      <w:pPr>
        <w:pStyle w:val="a3"/>
        <w:tabs>
          <w:tab w:val="left" w:pos="6919"/>
        </w:tabs>
        <w:ind w:left="60"/>
        <w:jc w:val="center"/>
        <w:rPr>
          <w:szCs w:val="28"/>
        </w:rPr>
      </w:pPr>
      <w:r>
        <w:rPr>
          <w:szCs w:val="28"/>
        </w:rPr>
        <w:t>П О С Т А Н О В Л Е Н И Е</w:t>
      </w:r>
    </w:p>
    <w:p w:rsidR="00A02CA2" w:rsidRDefault="00A02CA2" w:rsidP="00A02CA2">
      <w:pPr>
        <w:pStyle w:val="a3"/>
        <w:tabs>
          <w:tab w:val="left" w:pos="6919"/>
        </w:tabs>
        <w:ind w:left="60"/>
        <w:jc w:val="center"/>
        <w:rPr>
          <w:szCs w:val="28"/>
        </w:rPr>
      </w:pPr>
    </w:p>
    <w:p w:rsidR="00A02CA2" w:rsidRDefault="00A02CA2" w:rsidP="00A02CA2">
      <w:pPr>
        <w:pStyle w:val="a3"/>
        <w:tabs>
          <w:tab w:val="left" w:pos="6919"/>
        </w:tabs>
        <w:ind w:left="60"/>
        <w:rPr>
          <w:szCs w:val="28"/>
        </w:rPr>
      </w:pPr>
      <w:proofErr w:type="gramStart"/>
      <w:r>
        <w:rPr>
          <w:szCs w:val="28"/>
        </w:rPr>
        <w:t>17  августа</w:t>
      </w:r>
      <w:proofErr w:type="gramEnd"/>
      <w:r>
        <w:rPr>
          <w:szCs w:val="28"/>
        </w:rPr>
        <w:t xml:space="preserve"> 2021 года                                                                                     № 13</w:t>
      </w:r>
    </w:p>
    <w:p w:rsidR="00A02CA2" w:rsidRDefault="00A02CA2" w:rsidP="00A02CA2">
      <w:pPr>
        <w:pStyle w:val="a3"/>
        <w:ind w:left="280"/>
        <w:jc w:val="center"/>
        <w:rPr>
          <w:szCs w:val="28"/>
        </w:rPr>
      </w:pPr>
      <w:r>
        <w:rPr>
          <w:szCs w:val="28"/>
        </w:rPr>
        <w:t>п. Междуреченский</w:t>
      </w:r>
    </w:p>
    <w:p w:rsidR="00A02CA2" w:rsidRDefault="00A02CA2" w:rsidP="00A02CA2">
      <w:pPr>
        <w:pStyle w:val="a3"/>
        <w:ind w:left="280"/>
        <w:jc w:val="center"/>
        <w:rPr>
          <w:szCs w:val="28"/>
        </w:rPr>
      </w:pPr>
    </w:p>
    <w:p w:rsidR="00A02CA2" w:rsidRPr="00D41FF5" w:rsidRDefault="00A02CA2" w:rsidP="00A02CA2">
      <w:pPr>
        <w:jc w:val="center"/>
        <w:rPr>
          <w:b/>
          <w:sz w:val="28"/>
          <w:szCs w:val="28"/>
        </w:rPr>
      </w:pPr>
      <w:bookmarkStart w:id="0" w:name="_GoBack"/>
      <w:r w:rsidRPr="00D41FF5">
        <w:rPr>
          <w:b/>
          <w:sz w:val="28"/>
          <w:szCs w:val="28"/>
        </w:rPr>
        <w:t xml:space="preserve">Об утверждении перечня помещений пригодных для проведения предвыборных агитационных публичных мероприятий при проведении выборов </w:t>
      </w:r>
      <w:r>
        <w:rPr>
          <w:b/>
          <w:sz w:val="28"/>
          <w:szCs w:val="28"/>
        </w:rPr>
        <w:t>депутатов Государственной Думы Федерального Собрания Российской Федерации нового созыва, депутатов Собрания депутатов муниципального образования «</w:t>
      </w:r>
      <w:proofErr w:type="spellStart"/>
      <w:r>
        <w:rPr>
          <w:b/>
          <w:sz w:val="28"/>
          <w:szCs w:val="28"/>
        </w:rPr>
        <w:t>Пинежский</w:t>
      </w:r>
      <w:proofErr w:type="spellEnd"/>
      <w:r>
        <w:rPr>
          <w:b/>
          <w:sz w:val="28"/>
          <w:szCs w:val="28"/>
        </w:rPr>
        <w:t xml:space="preserve"> муниципальный район» Архангельской области седьмого созыва,  депутатов Совета депутатов  муниципального образования «Междуреченское» </w:t>
      </w:r>
      <w:proofErr w:type="spellStart"/>
      <w:r>
        <w:rPr>
          <w:b/>
          <w:sz w:val="28"/>
          <w:szCs w:val="28"/>
        </w:rPr>
        <w:t>Пинежского</w:t>
      </w:r>
      <w:proofErr w:type="spellEnd"/>
      <w:r>
        <w:rPr>
          <w:b/>
          <w:sz w:val="28"/>
          <w:szCs w:val="28"/>
        </w:rPr>
        <w:t xml:space="preserve"> муниципального района Архангельской области пятого созыва и главы  муниципального образования «Междуреченское» </w:t>
      </w:r>
      <w:proofErr w:type="spellStart"/>
      <w:r>
        <w:rPr>
          <w:b/>
          <w:sz w:val="28"/>
          <w:szCs w:val="28"/>
        </w:rPr>
        <w:t>Пинежского</w:t>
      </w:r>
      <w:proofErr w:type="spellEnd"/>
      <w:r>
        <w:rPr>
          <w:b/>
          <w:sz w:val="28"/>
          <w:szCs w:val="28"/>
        </w:rPr>
        <w:t xml:space="preserve"> муниципального района Архангельской области</w:t>
      </w:r>
      <w:bookmarkEnd w:id="0"/>
      <w:r>
        <w:rPr>
          <w:b/>
          <w:sz w:val="28"/>
          <w:szCs w:val="28"/>
        </w:rPr>
        <w:t>.</w:t>
      </w:r>
    </w:p>
    <w:p w:rsidR="00A02CA2" w:rsidRPr="005972E6" w:rsidRDefault="00A02CA2" w:rsidP="00A02CA2">
      <w:pPr>
        <w:rPr>
          <w:b/>
          <w:sz w:val="18"/>
          <w:szCs w:val="18"/>
        </w:rPr>
      </w:pPr>
    </w:p>
    <w:p w:rsidR="00A02CA2" w:rsidRPr="005972E6" w:rsidRDefault="00A02CA2" w:rsidP="00A02CA2">
      <w:pPr>
        <w:rPr>
          <w:b/>
          <w:sz w:val="18"/>
          <w:szCs w:val="18"/>
        </w:rPr>
      </w:pPr>
    </w:p>
    <w:p w:rsidR="00A02CA2" w:rsidRDefault="00A02CA2" w:rsidP="00A02CA2">
      <w:pPr>
        <w:ind w:firstLine="720"/>
        <w:jc w:val="both"/>
        <w:rPr>
          <w:sz w:val="28"/>
          <w:szCs w:val="28"/>
        </w:rPr>
      </w:pPr>
      <w:r w:rsidRPr="00D41FF5">
        <w:rPr>
          <w:sz w:val="28"/>
          <w:szCs w:val="28"/>
        </w:rPr>
        <w:t xml:space="preserve">В целях обеспечения равных условий для зарегистрированных кандидатов, их доверенных лиц, представителей избирательных объединений, выдвинувших списки кандидатов, при предоставлении помещений для встреч с избирателями, в соответствии с </w:t>
      </w:r>
      <w:r>
        <w:rPr>
          <w:sz w:val="28"/>
          <w:szCs w:val="28"/>
        </w:rPr>
        <w:t xml:space="preserve">Федеральным законом от 22.02.2014 №20-ФЗ «О выборах депутатов Государственной Думы Федерального Собрания Российской Федерации», Указом Президента Российской Федерации от 17.06.2021 № 367 «О назначении выборов депутатов Государственной Думы Федерального Собрания Российской Федерации нового созыва», законом Архангельской области от 08.11.2006 №268-13-ОЗ «О выборах в органы местного самоуправления в Архангельской области» </w:t>
      </w:r>
      <w:r w:rsidRPr="00D41FF5">
        <w:rPr>
          <w:sz w:val="28"/>
          <w:szCs w:val="28"/>
        </w:rPr>
        <w:t>администрация МО «</w:t>
      </w:r>
      <w:r>
        <w:rPr>
          <w:sz w:val="28"/>
          <w:szCs w:val="28"/>
        </w:rPr>
        <w:t>Междуреченское</w:t>
      </w:r>
      <w:r w:rsidRPr="00D41FF5">
        <w:rPr>
          <w:sz w:val="28"/>
          <w:szCs w:val="28"/>
        </w:rPr>
        <w:t>»</w:t>
      </w:r>
    </w:p>
    <w:p w:rsidR="00A02CA2" w:rsidRPr="00A02CA2" w:rsidRDefault="00A02CA2" w:rsidP="00A02CA2">
      <w:pPr>
        <w:ind w:firstLine="720"/>
        <w:jc w:val="center"/>
        <w:rPr>
          <w:b/>
          <w:sz w:val="28"/>
          <w:szCs w:val="28"/>
        </w:rPr>
      </w:pPr>
      <w:r w:rsidRPr="00B17FCC">
        <w:rPr>
          <w:b/>
          <w:sz w:val="28"/>
          <w:szCs w:val="28"/>
        </w:rPr>
        <w:t>постановляет:</w:t>
      </w:r>
    </w:p>
    <w:p w:rsidR="00A02CA2" w:rsidRPr="005972E6" w:rsidRDefault="00A02CA2" w:rsidP="00A02C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</w:t>
      </w:r>
      <w:r w:rsidRPr="005972E6">
        <w:rPr>
          <w:sz w:val="28"/>
          <w:szCs w:val="28"/>
        </w:rPr>
        <w:t>твердить прилагаемый перечень помещений, находящихся в муниципальной собственности и пригодных для проведения выборов депутатов Государственной Думы Федерального Собрания Росс</w:t>
      </w:r>
      <w:r>
        <w:rPr>
          <w:sz w:val="28"/>
          <w:szCs w:val="28"/>
        </w:rPr>
        <w:t>ийской Федерации нового созыва,</w:t>
      </w:r>
      <w:r w:rsidRPr="005972E6">
        <w:rPr>
          <w:sz w:val="28"/>
          <w:szCs w:val="28"/>
        </w:rPr>
        <w:t xml:space="preserve"> депутатов Собрания депутатов муниципального образования «</w:t>
      </w:r>
      <w:proofErr w:type="spellStart"/>
      <w:r w:rsidRPr="005972E6">
        <w:rPr>
          <w:sz w:val="28"/>
          <w:szCs w:val="28"/>
        </w:rPr>
        <w:t>Пинежский</w:t>
      </w:r>
      <w:proofErr w:type="spellEnd"/>
      <w:r w:rsidRPr="005972E6">
        <w:rPr>
          <w:sz w:val="28"/>
          <w:szCs w:val="28"/>
        </w:rPr>
        <w:t xml:space="preserve"> муниципальный район»</w:t>
      </w:r>
      <w:r>
        <w:rPr>
          <w:sz w:val="28"/>
          <w:szCs w:val="28"/>
        </w:rPr>
        <w:t xml:space="preserve"> Архангельской области седьмого</w:t>
      </w:r>
      <w:r w:rsidRPr="005972E6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, депутатов Совета депутатов муниципального образования «Междуреченское» </w:t>
      </w:r>
      <w:proofErr w:type="spellStart"/>
      <w:r>
        <w:rPr>
          <w:sz w:val="28"/>
          <w:szCs w:val="28"/>
        </w:rPr>
        <w:t>Пинежского</w:t>
      </w:r>
      <w:proofErr w:type="spellEnd"/>
      <w:r>
        <w:rPr>
          <w:sz w:val="28"/>
          <w:szCs w:val="28"/>
        </w:rPr>
        <w:t xml:space="preserve"> муниципального района Архангельской области пятого  созыва</w:t>
      </w:r>
      <w:r w:rsidRPr="008253DB">
        <w:rPr>
          <w:b/>
          <w:sz w:val="28"/>
          <w:szCs w:val="28"/>
        </w:rPr>
        <w:t xml:space="preserve"> </w:t>
      </w:r>
      <w:r w:rsidRPr="008253DB">
        <w:rPr>
          <w:sz w:val="28"/>
          <w:szCs w:val="28"/>
        </w:rPr>
        <w:t xml:space="preserve">и главы  муниципального образования «Междуреченское» </w:t>
      </w:r>
      <w:proofErr w:type="spellStart"/>
      <w:r w:rsidRPr="008253DB">
        <w:rPr>
          <w:sz w:val="28"/>
          <w:szCs w:val="28"/>
        </w:rPr>
        <w:t>Пинежского</w:t>
      </w:r>
      <w:proofErr w:type="spellEnd"/>
      <w:r w:rsidRPr="008253DB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 xml:space="preserve">ого района Архангельской области </w:t>
      </w:r>
      <w:r w:rsidRPr="005972E6">
        <w:rPr>
          <w:sz w:val="28"/>
          <w:szCs w:val="28"/>
        </w:rPr>
        <w:t>на территории муниципального образования «</w:t>
      </w:r>
      <w:r>
        <w:rPr>
          <w:sz w:val="28"/>
          <w:szCs w:val="28"/>
        </w:rPr>
        <w:t>Междуреченское</w:t>
      </w:r>
      <w:r w:rsidRPr="005972E6">
        <w:rPr>
          <w:sz w:val="28"/>
          <w:szCs w:val="28"/>
        </w:rPr>
        <w:t>».</w:t>
      </w:r>
    </w:p>
    <w:p w:rsidR="00A02CA2" w:rsidRPr="005972E6" w:rsidRDefault="00A02CA2" w:rsidP="00A02CA2">
      <w:pPr>
        <w:jc w:val="both"/>
        <w:rPr>
          <w:sz w:val="18"/>
          <w:szCs w:val="18"/>
        </w:rPr>
      </w:pPr>
    </w:p>
    <w:p w:rsidR="00A02CA2" w:rsidRDefault="00A02CA2" w:rsidP="00A02CA2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муниципального</w:t>
      </w:r>
    </w:p>
    <w:p w:rsidR="00A02CA2" w:rsidRDefault="00A02CA2" w:rsidP="00A02CA2">
      <w:pPr>
        <w:rPr>
          <w:sz w:val="28"/>
          <w:szCs w:val="28"/>
        </w:rPr>
      </w:pPr>
      <w:r>
        <w:rPr>
          <w:sz w:val="28"/>
          <w:szCs w:val="28"/>
        </w:rPr>
        <w:t>образования «</w:t>
      </w:r>
      <w:proofErr w:type="gramStart"/>
      <w:r>
        <w:rPr>
          <w:sz w:val="28"/>
          <w:szCs w:val="28"/>
        </w:rPr>
        <w:t xml:space="preserve">Междуреченское»   </w:t>
      </w:r>
      <w:proofErr w:type="gramEnd"/>
      <w:r>
        <w:rPr>
          <w:sz w:val="28"/>
          <w:szCs w:val="28"/>
        </w:rPr>
        <w:t xml:space="preserve">                                             </w:t>
      </w:r>
      <w:proofErr w:type="spellStart"/>
      <w:r>
        <w:rPr>
          <w:sz w:val="28"/>
          <w:szCs w:val="28"/>
        </w:rPr>
        <w:t>Е.Ю.Шатровская</w:t>
      </w:r>
      <w:proofErr w:type="spellEnd"/>
    </w:p>
    <w:p w:rsidR="00A02CA2" w:rsidRDefault="00A02CA2" w:rsidP="00A02C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02CA2" w:rsidRDefault="00A02CA2" w:rsidP="00A02CA2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 </w:t>
      </w:r>
    </w:p>
    <w:p w:rsidR="00A02CA2" w:rsidRDefault="00A02CA2" w:rsidP="00A02CA2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A02CA2" w:rsidRDefault="00A02CA2" w:rsidP="00A02CA2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МО «Междуреченское»</w:t>
      </w:r>
    </w:p>
    <w:p w:rsidR="00A02CA2" w:rsidRDefault="00A02CA2" w:rsidP="00A02CA2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от 17.08.2021 г. № 13</w:t>
      </w:r>
    </w:p>
    <w:p w:rsidR="00A02CA2" w:rsidRDefault="00A02CA2" w:rsidP="00A02CA2">
      <w:pPr>
        <w:ind w:firstLine="720"/>
        <w:jc w:val="right"/>
        <w:rPr>
          <w:sz w:val="28"/>
          <w:szCs w:val="28"/>
        </w:rPr>
      </w:pPr>
    </w:p>
    <w:p w:rsidR="00A02CA2" w:rsidRDefault="00A02CA2" w:rsidP="00A02CA2">
      <w:pPr>
        <w:ind w:firstLine="720"/>
        <w:jc w:val="right"/>
        <w:rPr>
          <w:sz w:val="28"/>
          <w:szCs w:val="28"/>
        </w:rPr>
      </w:pPr>
    </w:p>
    <w:p w:rsidR="00A02CA2" w:rsidRDefault="00A02CA2" w:rsidP="00A02CA2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CE60E2">
        <w:rPr>
          <w:sz w:val="28"/>
          <w:szCs w:val="28"/>
        </w:rPr>
        <w:t>еречень помещений</w:t>
      </w:r>
      <w:r>
        <w:rPr>
          <w:sz w:val="28"/>
          <w:szCs w:val="28"/>
        </w:rPr>
        <w:t>, находящихся в муниципальной собственности</w:t>
      </w:r>
    </w:p>
    <w:p w:rsidR="00A02CA2" w:rsidRPr="008253DB" w:rsidRDefault="00A02CA2" w:rsidP="00A02C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Pr="00CE60E2">
        <w:rPr>
          <w:sz w:val="28"/>
          <w:szCs w:val="28"/>
        </w:rPr>
        <w:t xml:space="preserve">пригодных для проведения предвыборных агитационных публичных мероприятий </w:t>
      </w:r>
      <w:r>
        <w:rPr>
          <w:sz w:val="28"/>
          <w:szCs w:val="28"/>
        </w:rPr>
        <w:t>при</w:t>
      </w:r>
      <w:r w:rsidRPr="00CE60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проведении </w:t>
      </w:r>
      <w:r w:rsidRPr="005972E6">
        <w:rPr>
          <w:sz w:val="28"/>
          <w:szCs w:val="28"/>
        </w:rPr>
        <w:t>выборов депутатов Государственной Думы Федерального Собрания Росс</w:t>
      </w:r>
      <w:r>
        <w:rPr>
          <w:sz w:val="28"/>
          <w:szCs w:val="28"/>
        </w:rPr>
        <w:t>ийской Федерации нового созыва,</w:t>
      </w:r>
      <w:r w:rsidRPr="005972E6">
        <w:rPr>
          <w:sz w:val="28"/>
          <w:szCs w:val="28"/>
        </w:rPr>
        <w:t xml:space="preserve"> депутатов Собрания депутатов муниципального образования «</w:t>
      </w:r>
      <w:proofErr w:type="spellStart"/>
      <w:r w:rsidRPr="005972E6">
        <w:rPr>
          <w:sz w:val="28"/>
          <w:szCs w:val="28"/>
        </w:rPr>
        <w:t>Пинежский</w:t>
      </w:r>
      <w:proofErr w:type="spellEnd"/>
      <w:r w:rsidRPr="005972E6">
        <w:rPr>
          <w:sz w:val="28"/>
          <w:szCs w:val="28"/>
        </w:rPr>
        <w:t xml:space="preserve"> муниципальный район» </w:t>
      </w:r>
      <w:r>
        <w:rPr>
          <w:sz w:val="28"/>
          <w:szCs w:val="28"/>
        </w:rPr>
        <w:t>Архангельской области седьмого</w:t>
      </w:r>
      <w:r w:rsidRPr="005972E6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, депутатов Совета депутатов муниципального образования «Междуреченское» пятого созыва  </w:t>
      </w:r>
      <w:r w:rsidRPr="008253DB">
        <w:rPr>
          <w:sz w:val="28"/>
          <w:szCs w:val="28"/>
        </w:rPr>
        <w:t xml:space="preserve">и главы  муниципального образования «Междуреченское» </w:t>
      </w:r>
      <w:proofErr w:type="spellStart"/>
      <w:r w:rsidRPr="008253DB">
        <w:rPr>
          <w:sz w:val="28"/>
          <w:szCs w:val="28"/>
        </w:rPr>
        <w:t>Пинежского</w:t>
      </w:r>
      <w:proofErr w:type="spellEnd"/>
      <w:r w:rsidRPr="008253DB">
        <w:rPr>
          <w:sz w:val="28"/>
          <w:szCs w:val="28"/>
        </w:rPr>
        <w:t xml:space="preserve"> муниципального района Архангельской области.</w:t>
      </w:r>
    </w:p>
    <w:p w:rsidR="00A02CA2" w:rsidRDefault="00A02CA2" w:rsidP="00A02CA2">
      <w:pPr>
        <w:jc w:val="center"/>
        <w:rPr>
          <w:sz w:val="28"/>
          <w:szCs w:val="28"/>
        </w:rPr>
      </w:pPr>
    </w:p>
    <w:p w:rsidR="00A02CA2" w:rsidRDefault="00A02CA2" w:rsidP="00A02CA2">
      <w:pPr>
        <w:ind w:firstLine="720"/>
        <w:jc w:val="center"/>
        <w:rPr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"/>
        <w:gridCol w:w="1884"/>
        <w:gridCol w:w="2067"/>
        <w:gridCol w:w="2216"/>
        <w:gridCol w:w="2067"/>
        <w:gridCol w:w="1665"/>
      </w:tblGrid>
      <w:tr w:rsidR="00A02CA2" w:rsidRPr="00CB018B" w:rsidTr="00A02CA2">
        <w:tc>
          <w:tcPr>
            <w:tcW w:w="336" w:type="dxa"/>
          </w:tcPr>
          <w:p w:rsidR="00A02CA2" w:rsidRPr="00EC6B01" w:rsidRDefault="00A02CA2" w:rsidP="00116680">
            <w:pPr>
              <w:jc w:val="center"/>
            </w:pPr>
            <w:r w:rsidRPr="00EC6B01">
              <w:t>1</w:t>
            </w:r>
          </w:p>
        </w:tc>
        <w:tc>
          <w:tcPr>
            <w:tcW w:w="1884" w:type="dxa"/>
          </w:tcPr>
          <w:p w:rsidR="00A02CA2" w:rsidRPr="00EC6B01" w:rsidRDefault="00A02CA2" w:rsidP="00116680">
            <w:pPr>
              <w:jc w:val="center"/>
            </w:pPr>
            <w:r w:rsidRPr="00EC6B01">
              <w:t>Наименование учреждения, организации</w:t>
            </w:r>
          </w:p>
        </w:tc>
        <w:tc>
          <w:tcPr>
            <w:tcW w:w="2067" w:type="dxa"/>
          </w:tcPr>
          <w:p w:rsidR="00A02CA2" w:rsidRPr="00EC6B01" w:rsidRDefault="00A02CA2" w:rsidP="00116680">
            <w:pPr>
              <w:jc w:val="center"/>
            </w:pPr>
            <w:r w:rsidRPr="00EC6B01">
              <w:t>Адрес места нахождения</w:t>
            </w:r>
          </w:p>
        </w:tc>
        <w:tc>
          <w:tcPr>
            <w:tcW w:w="2216" w:type="dxa"/>
          </w:tcPr>
          <w:p w:rsidR="00A02CA2" w:rsidRPr="00EC6B01" w:rsidRDefault="00A02CA2" w:rsidP="00116680">
            <w:pPr>
              <w:jc w:val="center"/>
            </w:pPr>
            <w:r w:rsidRPr="00EC6B01">
              <w:t xml:space="preserve"> Собственник, владелец помещения</w:t>
            </w:r>
          </w:p>
        </w:tc>
        <w:tc>
          <w:tcPr>
            <w:tcW w:w="2067" w:type="dxa"/>
          </w:tcPr>
          <w:p w:rsidR="00A02CA2" w:rsidRPr="00EC6B01" w:rsidRDefault="00A02CA2" w:rsidP="00116680">
            <w:pPr>
              <w:jc w:val="center"/>
            </w:pPr>
            <w:r w:rsidRPr="00EC6B01">
              <w:t>Адрес места нахождения</w:t>
            </w:r>
          </w:p>
          <w:p w:rsidR="00A02CA2" w:rsidRPr="00EC6B01" w:rsidRDefault="00A02CA2" w:rsidP="00116680">
            <w:pPr>
              <w:jc w:val="center"/>
            </w:pPr>
            <w:r w:rsidRPr="00EC6B01">
              <w:t>собственника</w:t>
            </w:r>
          </w:p>
        </w:tc>
        <w:tc>
          <w:tcPr>
            <w:tcW w:w="1206" w:type="dxa"/>
          </w:tcPr>
          <w:p w:rsidR="00A02CA2" w:rsidRPr="00EC6B01" w:rsidRDefault="00A02CA2" w:rsidP="00116680">
            <w:pPr>
              <w:jc w:val="center"/>
            </w:pPr>
            <w:r w:rsidRPr="00EC6B01">
              <w:t>Контактный телефон собственника, владельца</w:t>
            </w:r>
          </w:p>
        </w:tc>
      </w:tr>
      <w:tr w:rsidR="00A02CA2" w:rsidRPr="00CB018B" w:rsidTr="00A02CA2">
        <w:tc>
          <w:tcPr>
            <w:tcW w:w="336" w:type="dxa"/>
          </w:tcPr>
          <w:p w:rsidR="00A02CA2" w:rsidRPr="00EC6B01" w:rsidRDefault="00A02CA2" w:rsidP="00116680">
            <w:pPr>
              <w:jc w:val="center"/>
            </w:pPr>
            <w:r w:rsidRPr="00EC6B01">
              <w:t>1</w:t>
            </w:r>
          </w:p>
        </w:tc>
        <w:tc>
          <w:tcPr>
            <w:tcW w:w="1884" w:type="dxa"/>
          </w:tcPr>
          <w:p w:rsidR="00A02CA2" w:rsidRPr="00EC6B01" w:rsidRDefault="00A02CA2" w:rsidP="00116680">
            <w:pPr>
              <w:jc w:val="center"/>
            </w:pPr>
            <w:r>
              <w:t>муниципальный комплексный центр «Родина»</w:t>
            </w:r>
          </w:p>
        </w:tc>
        <w:tc>
          <w:tcPr>
            <w:tcW w:w="2067" w:type="dxa"/>
          </w:tcPr>
          <w:p w:rsidR="00A02CA2" w:rsidRPr="00EC6B01" w:rsidRDefault="00A02CA2" w:rsidP="00116680">
            <w:pPr>
              <w:jc w:val="center"/>
            </w:pPr>
            <w:r>
              <w:t xml:space="preserve">164650, </w:t>
            </w:r>
            <w:r w:rsidRPr="00EC6B01">
              <w:t xml:space="preserve">Архангельская область, </w:t>
            </w:r>
            <w:proofErr w:type="spellStart"/>
            <w:r w:rsidRPr="00EC6B01">
              <w:t>Пинежский</w:t>
            </w:r>
            <w:proofErr w:type="spellEnd"/>
            <w:r w:rsidRPr="00EC6B01">
              <w:t xml:space="preserve"> район, </w:t>
            </w:r>
            <w:r>
              <w:t>п. Междуреченский</w:t>
            </w:r>
            <w:r w:rsidRPr="00EC6B01">
              <w:t xml:space="preserve">, ул. </w:t>
            </w:r>
            <w:r>
              <w:t>Центральная, д. 7</w:t>
            </w:r>
          </w:p>
        </w:tc>
        <w:tc>
          <w:tcPr>
            <w:tcW w:w="2216" w:type="dxa"/>
          </w:tcPr>
          <w:p w:rsidR="00A02CA2" w:rsidRPr="00EC6B01" w:rsidRDefault="00A02CA2" w:rsidP="00116680">
            <w:pPr>
              <w:jc w:val="center"/>
            </w:pPr>
            <w:r w:rsidRPr="00EC6B01">
              <w:t>Администрация МО «</w:t>
            </w:r>
            <w:r>
              <w:t>Междуреченское»</w:t>
            </w:r>
          </w:p>
        </w:tc>
        <w:tc>
          <w:tcPr>
            <w:tcW w:w="2067" w:type="dxa"/>
          </w:tcPr>
          <w:p w:rsidR="00A02CA2" w:rsidRPr="00EC6B01" w:rsidRDefault="00A02CA2" w:rsidP="00116680">
            <w:pPr>
              <w:jc w:val="center"/>
            </w:pPr>
            <w:r>
              <w:t xml:space="preserve">164632, </w:t>
            </w:r>
            <w:r w:rsidRPr="00EC6B01">
              <w:t xml:space="preserve">Архангельская область, </w:t>
            </w:r>
            <w:proofErr w:type="spellStart"/>
            <w:r w:rsidRPr="00EC6B01">
              <w:t>Пинежский</w:t>
            </w:r>
            <w:proofErr w:type="spellEnd"/>
            <w:r w:rsidRPr="00EC6B01">
              <w:t xml:space="preserve"> район, </w:t>
            </w:r>
            <w:r>
              <w:t>п. Междуреченский, ул. Строителей, д. 14</w:t>
            </w:r>
          </w:p>
        </w:tc>
        <w:tc>
          <w:tcPr>
            <w:tcW w:w="1206" w:type="dxa"/>
          </w:tcPr>
          <w:p w:rsidR="00A02CA2" w:rsidRDefault="00A02CA2" w:rsidP="00116680">
            <w:pPr>
              <w:jc w:val="center"/>
            </w:pPr>
            <w:r>
              <w:t>89214737171</w:t>
            </w:r>
          </w:p>
          <w:p w:rsidR="00A02CA2" w:rsidRDefault="00A02CA2" w:rsidP="00116680">
            <w:pPr>
              <w:jc w:val="center"/>
            </w:pPr>
          </w:p>
          <w:p w:rsidR="00A02CA2" w:rsidRDefault="00A02CA2" w:rsidP="00116680">
            <w:pPr>
              <w:jc w:val="center"/>
            </w:pPr>
          </w:p>
          <w:p w:rsidR="00A02CA2" w:rsidRDefault="00A02CA2" w:rsidP="00116680">
            <w:pPr>
              <w:jc w:val="center"/>
            </w:pPr>
          </w:p>
          <w:p w:rsidR="00A02CA2" w:rsidRDefault="00A02CA2" w:rsidP="00116680">
            <w:pPr>
              <w:jc w:val="center"/>
            </w:pPr>
          </w:p>
          <w:p w:rsidR="00A02CA2" w:rsidRDefault="00A02CA2" w:rsidP="00116680">
            <w:pPr>
              <w:jc w:val="center"/>
            </w:pPr>
          </w:p>
          <w:p w:rsidR="00A02CA2" w:rsidRDefault="00A02CA2" w:rsidP="00116680">
            <w:pPr>
              <w:jc w:val="center"/>
            </w:pPr>
          </w:p>
          <w:p w:rsidR="00A02CA2" w:rsidRDefault="00A02CA2" w:rsidP="00116680">
            <w:pPr>
              <w:jc w:val="center"/>
            </w:pPr>
          </w:p>
          <w:p w:rsidR="00A02CA2" w:rsidRPr="00EC6B01" w:rsidRDefault="00A02CA2" w:rsidP="00116680">
            <w:pPr>
              <w:jc w:val="center"/>
            </w:pPr>
          </w:p>
        </w:tc>
      </w:tr>
    </w:tbl>
    <w:p w:rsidR="00A02CA2" w:rsidRPr="009C1972" w:rsidRDefault="00A02CA2" w:rsidP="00A02CA2">
      <w:pPr>
        <w:rPr>
          <w:sz w:val="20"/>
          <w:szCs w:val="20"/>
        </w:rPr>
      </w:pPr>
    </w:p>
    <w:p w:rsidR="00A02CA2" w:rsidRDefault="00A02CA2" w:rsidP="00A02CA2">
      <w:pPr>
        <w:pStyle w:val="a3"/>
        <w:jc w:val="both"/>
        <w:rPr>
          <w:szCs w:val="28"/>
        </w:rPr>
      </w:pPr>
    </w:p>
    <w:p w:rsidR="00A02CA2" w:rsidRDefault="00A02CA2" w:rsidP="00A02CA2">
      <w:pPr>
        <w:pStyle w:val="a3"/>
        <w:jc w:val="both"/>
        <w:rPr>
          <w:szCs w:val="28"/>
        </w:rPr>
      </w:pPr>
    </w:p>
    <w:p w:rsidR="00A02CA2" w:rsidRDefault="00A02CA2" w:rsidP="00A02CA2">
      <w:pPr>
        <w:pStyle w:val="a3"/>
        <w:jc w:val="both"/>
        <w:rPr>
          <w:szCs w:val="28"/>
        </w:rPr>
      </w:pPr>
    </w:p>
    <w:p w:rsidR="00A02CA2" w:rsidRDefault="00A02CA2" w:rsidP="00A02CA2">
      <w:pPr>
        <w:ind w:left="720"/>
        <w:jc w:val="both"/>
        <w:rPr>
          <w:sz w:val="28"/>
          <w:szCs w:val="28"/>
        </w:rPr>
      </w:pPr>
    </w:p>
    <w:p w:rsidR="003652EA" w:rsidRDefault="003652EA"/>
    <w:sectPr w:rsidR="003652EA" w:rsidSect="00A02CA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A2"/>
    <w:rsid w:val="003652EA"/>
    <w:rsid w:val="00A02CA2"/>
    <w:rsid w:val="00B5176E"/>
    <w:rsid w:val="00EF6892"/>
    <w:rsid w:val="00F2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6C507-D4C4-4994-A3FE-84411B625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02CA2"/>
    <w:pPr>
      <w:overflowPunct w:val="0"/>
      <w:autoSpaceDE w:val="0"/>
      <w:autoSpaceDN w:val="0"/>
      <w:adjustRightInd w:val="0"/>
      <w:textAlignment w:val="baseline"/>
    </w:pPr>
    <w:rPr>
      <w:bCs/>
      <w:sz w:val="28"/>
      <w:szCs w:val="20"/>
    </w:rPr>
  </w:style>
  <w:style w:type="character" w:customStyle="1" w:styleId="a4">
    <w:name w:val="Основной текст Знак"/>
    <w:basedOn w:val="a0"/>
    <w:link w:val="a3"/>
    <w:rsid w:val="00A02CA2"/>
    <w:rPr>
      <w:rFonts w:ascii="Times New Roman" w:eastAsia="Times New Roman" w:hAnsi="Times New Roman" w:cs="Times New Roman"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ВА. Коркишко</cp:lastModifiedBy>
  <cp:revision>2</cp:revision>
  <dcterms:created xsi:type="dcterms:W3CDTF">2021-09-15T11:00:00Z</dcterms:created>
  <dcterms:modified xsi:type="dcterms:W3CDTF">2021-09-15T11:00:00Z</dcterms:modified>
</cp:coreProperties>
</file>