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19" w:rsidRDefault="00C6223F">
      <w:pPr>
        <w:pStyle w:val="10"/>
        <w:framePr w:w="9456" w:h="2499" w:hRule="exact" w:wrap="none" w:vAnchor="page" w:hAnchor="page" w:x="1590" w:y="1446"/>
        <w:shd w:val="clear" w:color="auto" w:fill="auto"/>
        <w:spacing w:after="73" w:line="280" w:lineRule="exact"/>
        <w:ind w:left="5140"/>
      </w:pPr>
      <w:bookmarkStart w:id="0" w:name="bookmark0"/>
      <w:r>
        <w:t>УТВЕРЖДЕН</w:t>
      </w:r>
      <w:bookmarkEnd w:id="0"/>
    </w:p>
    <w:p w:rsidR="008E1019" w:rsidRDefault="00C6223F">
      <w:pPr>
        <w:pStyle w:val="30"/>
        <w:framePr w:w="9456" w:h="2499" w:hRule="exact" w:wrap="none" w:vAnchor="page" w:hAnchor="page" w:x="1590" w:y="1446"/>
        <w:shd w:val="clear" w:color="auto" w:fill="auto"/>
        <w:spacing w:before="0" w:after="103"/>
        <w:ind w:left="5140" w:right="520"/>
      </w:pPr>
      <w:r>
        <w:t>протоколом рабочей группы - коллегиального органа для оценки эффективности организации и функционирования в администрации МО «Пинежский район» антимонопольного комплаенса</w:t>
      </w:r>
    </w:p>
    <w:p w:rsidR="008E1019" w:rsidRDefault="00C6223F">
      <w:pPr>
        <w:pStyle w:val="30"/>
        <w:framePr w:w="9456" w:h="2499" w:hRule="exact" w:wrap="none" w:vAnchor="page" w:hAnchor="page" w:x="1590" w:y="1446"/>
        <w:shd w:val="clear" w:color="auto" w:fill="auto"/>
        <w:spacing w:before="0" w:after="0" w:line="220" w:lineRule="exact"/>
        <w:ind w:left="5140"/>
      </w:pPr>
      <w:r>
        <w:t>от 26 января 2023 года</w:t>
      </w:r>
    </w:p>
    <w:p w:rsidR="008E1019" w:rsidRDefault="00C6223F">
      <w:pPr>
        <w:pStyle w:val="20"/>
        <w:framePr w:w="9456" w:h="10835" w:hRule="exact" w:wrap="none" w:vAnchor="page" w:hAnchor="page" w:x="1590" w:y="4836"/>
        <w:shd w:val="clear" w:color="auto" w:fill="auto"/>
        <w:spacing w:before="0" w:after="397"/>
      </w:pPr>
      <w:bookmarkStart w:id="1" w:name="bookmark1"/>
      <w:r>
        <w:t xml:space="preserve">Доклад об антимонопольном комплаенсе в </w:t>
      </w:r>
      <w:r>
        <w:t>администрации Пинежского</w:t>
      </w:r>
      <w:r>
        <w:br/>
        <w:t>муниципального района Архангельской области</w:t>
      </w:r>
      <w:bookmarkEnd w:id="1"/>
    </w:p>
    <w:p w:rsidR="008E1019" w:rsidRDefault="00C6223F">
      <w:pPr>
        <w:pStyle w:val="20"/>
        <w:framePr w:w="9456" w:h="10835" w:hRule="exact" w:wrap="none" w:vAnchor="page" w:hAnchor="page" w:x="1590" w:y="4836"/>
        <w:shd w:val="clear" w:color="auto" w:fill="auto"/>
        <w:spacing w:before="0" w:after="244" w:line="280" w:lineRule="exact"/>
        <w:ind w:left="960"/>
        <w:jc w:val="left"/>
      </w:pPr>
      <w:bookmarkStart w:id="2" w:name="bookmark2"/>
      <w:r>
        <w:t>1. Общие положения</w:t>
      </w:r>
      <w:bookmarkEnd w:id="2"/>
    </w:p>
    <w:p w:rsidR="008E1019" w:rsidRDefault="00C6223F">
      <w:pPr>
        <w:pStyle w:val="22"/>
        <w:framePr w:w="9456" w:h="10835" w:hRule="exact" w:wrap="none" w:vAnchor="page" w:hAnchor="page" w:x="1590" w:y="4836"/>
        <w:shd w:val="clear" w:color="auto" w:fill="auto"/>
        <w:spacing w:before="0"/>
        <w:ind w:firstLine="740"/>
      </w:pPr>
      <w:r>
        <w:t xml:space="preserve"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пункта 2 </w:t>
      </w:r>
      <w:r>
        <w:t>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</w:t>
      </w:r>
      <w:r>
        <w:t>нопольного законодательства», пункта 4 постановления Правительства Архангельской области от 26 февраля 2019 года № 92-пп «О создании и организации системы внутреннего обеспечения соответствия требованиям антимонопольного законодательства в Архангельской об</w:t>
      </w:r>
      <w:r>
        <w:t xml:space="preserve">ласти» в администрации Пинежского муниципального района Архангельской области (далее - администрация) постановлением от 05 июня 2019 года № 0503-па создана система внутреннего обеспечения соответствия требованиям антимонопольного законодательства (далее - </w:t>
      </w:r>
      <w:r>
        <w:t>постановление), утверждено Положение об организации системы внутреннего обеспечения соответствия требованиям антимонопольного законодательства в администрации Пинежского муниципального района Архангельской области (далее - антимонопольный комплаенс).</w:t>
      </w:r>
    </w:p>
    <w:p w:rsidR="008E1019" w:rsidRDefault="00C6223F">
      <w:pPr>
        <w:pStyle w:val="22"/>
        <w:framePr w:w="9456" w:h="10835" w:hRule="exact" w:wrap="none" w:vAnchor="page" w:hAnchor="page" w:x="1590" w:y="4836"/>
        <w:shd w:val="clear" w:color="auto" w:fill="auto"/>
        <w:spacing w:before="0"/>
        <w:ind w:firstLine="740"/>
      </w:pPr>
      <w:r>
        <w:t>В соо</w:t>
      </w:r>
      <w:r>
        <w:t>тветствии с постановлением обязанности по организации и функционированию системы внутреннего обеспечения соответствия требованиям антимонопольного законодательства в администрации возложены на первого заместителя главы Пинежского муниципального района Арха</w:t>
      </w:r>
      <w:r>
        <w:t>нгельской области и руководителей структурных подразделений администрации. Ответственным за координацию деятельности по внедрению, организации и функционированию системы антимонопольного комплаенса в администрации определен комитет по экономическому развит</w:t>
      </w:r>
      <w:r>
        <w:t>ию администрации МО «Пинежский район». Общий контроль за организацией и функционированием в администрации антимонопольного</w:t>
      </w:r>
    </w:p>
    <w:p w:rsidR="008E1019" w:rsidRDefault="008E1019">
      <w:pPr>
        <w:rPr>
          <w:sz w:val="2"/>
          <w:szCs w:val="2"/>
        </w:rPr>
        <w:sectPr w:rsidR="008E10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line="280" w:lineRule="exact"/>
      </w:pPr>
      <w:r>
        <w:lastRenderedPageBreak/>
        <w:t>комплаенса осуществляется главой муниципального образования.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line="317" w:lineRule="exact"/>
        <w:ind w:firstLine="760"/>
      </w:pPr>
      <w:r>
        <w:t xml:space="preserve">С целью выполнения функции коллегиального органа </w:t>
      </w:r>
      <w:r>
        <w:t>по осуществлению оценки эффективности организации и функционирования в администрации антимонопольного комплаенса, а так же рассмотрение и утверждение доклада об антимонопольном комплаенсе Постановлением создана рабочая группа - коллегиальный орган, в соста</w:t>
      </w:r>
      <w:r>
        <w:t>в которой входят руководители структурных подразделений администрации.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tabs>
          <w:tab w:val="left" w:pos="5333"/>
        </w:tabs>
        <w:spacing w:before="0"/>
        <w:ind w:firstLine="760"/>
      </w:pPr>
      <w:r>
        <w:t>В целях обеспечения открытости и доступа к информации на официальном сайте администрации</w:t>
      </w:r>
      <w:r>
        <w:tab/>
        <w:t>размещена информация об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after="300"/>
      </w:pPr>
      <w:r>
        <w:t xml:space="preserve">антимонопольном комплаенсе </w:t>
      </w:r>
      <w:r w:rsidRPr="00710202">
        <w:rPr>
          <w:rStyle w:val="23"/>
          <w:lang w:val="ru-RU"/>
        </w:rPr>
        <w:t>(</w:t>
      </w:r>
      <w:r>
        <w:rPr>
          <w:rStyle w:val="23"/>
        </w:rPr>
        <w:t>bttp</w:t>
      </w:r>
      <w:r w:rsidRPr="00710202">
        <w:rPr>
          <w:rStyle w:val="23"/>
          <w:lang w:val="ru-RU"/>
        </w:rPr>
        <w:t>://</w:t>
      </w:r>
      <w:r>
        <w:rPr>
          <w:rStyle w:val="23"/>
        </w:rPr>
        <w:t>pinezhye</w:t>
      </w:r>
      <w:r w:rsidRPr="00710202">
        <w:rPr>
          <w:rStyle w:val="23"/>
          <w:lang w:val="ru-RU"/>
        </w:rPr>
        <w:t>.</w:t>
      </w:r>
      <w:r>
        <w:rPr>
          <w:rStyle w:val="23"/>
        </w:rPr>
        <w:t>ru</w:t>
      </w:r>
      <w:r w:rsidRPr="00710202">
        <w:rPr>
          <w:rStyle w:val="23"/>
          <w:lang w:val="ru-RU"/>
        </w:rPr>
        <w:t>/</w:t>
      </w:r>
      <w:r>
        <w:rPr>
          <w:rStyle w:val="23"/>
        </w:rPr>
        <w:t>dokumenty</w:t>
      </w:r>
      <w:r w:rsidRPr="00710202">
        <w:rPr>
          <w:rStyle w:val="23"/>
          <w:lang w:val="ru-RU"/>
        </w:rPr>
        <w:t>/</w:t>
      </w:r>
      <w:r>
        <w:rPr>
          <w:rStyle w:val="23"/>
        </w:rPr>
        <w:t>antimonopolnyy</w:t>
      </w:r>
      <w:r w:rsidRPr="00710202">
        <w:rPr>
          <w:rStyle w:val="23"/>
          <w:lang w:val="ru-RU"/>
        </w:rPr>
        <w:t>-</w:t>
      </w:r>
      <w:r w:rsidRPr="00710202">
        <w:rPr>
          <w:rStyle w:val="23"/>
          <w:lang w:val="ru-RU"/>
        </w:rPr>
        <w:t xml:space="preserve"> </w:t>
      </w:r>
      <w:r>
        <w:rPr>
          <w:rStyle w:val="23"/>
        </w:rPr>
        <w:t>komplaens</w:t>
      </w:r>
      <w:r w:rsidRPr="00710202">
        <w:rPr>
          <w:rStyle w:val="23"/>
          <w:lang w:val="ru-RU"/>
        </w:rPr>
        <w:t>/)</w:t>
      </w:r>
      <w:r w:rsidRPr="00710202">
        <w:rPr>
          <w:lang w:eastAsia="en-US" w:bidi="en-US"/>
        </w:rPr>
        <w:t>.</w:t>
      </w:r>
    </w:p>
    <w:p w:rsidR="008E1019" w:rsidRDefault="00C6223F" w:rsidP="00710202">
      <w:pPr>
        <w:pStyle w:val="20"/>
        <w:framePr w:w="9446" w:h="12129" w:hRule="exact" w:wrap="none" w:vAnchor="page" w:hAnchor="page" w:x="1595" w:y="1177"/>
        <w:shd w:val="clear" w:color="auto" w:fill="auto"/>
        <w:tabs>
          <w:tab w:val="left" w:pos="5333"/>
        </w:tabs>
        <w:spacing w:before="0" w:after="0" w:line="322" w:lineRule="exact"/>
        <w:ind w:firstLine="760"/>
        <w:jc w:val="both"/>
      </w:pPr>
      <w:bookmarkStart w:id="3" w:name="bookmark3"/>
      <w:r w:rsidRPr="00710202">
        <w:rPr>
          <w:lang w:eastAsia="en-US" w:bidi="en-US"/>
        </w:rPr>
        <w:t xml:space="preserve">2. </w:t>
      </w:r>
      <w:r>
        <w:t>Информация о проведенных мероприятиях по внедрению антимонопольного комплаенса в</w:t>
      </w:r>
      <w:r w:rsidR="00710202">
        <w:t xml:space="preserve"> </w:t>
      </w:r>
      <w:r>
        <w:t>администрации Пинежского</w:t>
      </w:r>
      <w:bookmarkEnd w:id="3"/>
      <w:r w:rsidR="00710202">
        <w:t xml:space="preserve"> </w:t>
      </w:r>
      <w:bookmarkStart w:id="4" w:name="_GoBack"/>
      <w:bookmarkEnd w:id="4"/>
      <w:r>
        <w:t>муниципального района Архангельской области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/>
        <w:ind w:firstLine="760"/>
      </w:pPr>
      <w:r>
        <w:t>В</w:t>
      </w:r>
      <w:r>
        <w:t xml:space="preserve"> целях выявления и оценки рисков нарушения антимонопольного законодательства </w:t>
      </w:r>
      <w:r>
        <w:t>уполномоченными должностными лицами и отделами проводится ряд мероприятий.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after="281" w:line="293" w:lineRule="exact"/>
        <w:ind w:firstLine="620"/>
      </w:pPr>
      <w:r>
        <w:t>Нарушений требований антимонопольного законодательства администрацией и подведомственными учреждениями в 2022 году не выявлено.</w:t>
      </w:r>
    </w:p>
    <w:p w:rsidR="008E1019" w:rsidRDefault="00C6223F">
      <w:pPr>
        <w:pStyle w:val="40"/>
        <w:framePr w:w="9446" w:h="12129" w:hRule="exact" w:wrap="none" w:vAnchor="page" w:hAnchor="page" w:x="1595" w:y="1177"/>
        <w:numPr>
          <w:ilvl w:val="0"/>
          <w:numId w:val="1"/>
        </w:numPr>
        <w:shd w:val="clear" w:color="auto" w:fill="auto"/>
        <w:tabs>
          <w:tab w:val="left" w:pos="1517"/>
        </w:tabs>
        <w:spacing w:after="0" w:line="317" w:lineRule="exact"/>
        <w:ind w:firstLine="760"/>
      </w:pPr>
      <w:r>
        <w:t>Анализ выявленных нарушений антимонопольного законода</w:t>
      </w:r>
      <w:r>
        <w:t>тельства в деятельности администрации за предыдущие три года.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line="317" w:lineRule="exact"/>
        <w:ind w:firstLine="760"/>
      </w:pPr>
      <w:r>
        <w:t>В соответствии с п. 3.4. утвержденного Положения об организации системы внутреннего обеспечении соответствия требованиям антимонопольного законодательства в администрации (далее - Положение) упо</w:t>
      </w:r>
      <w:r>
        <w:t>лномоченными структурными подразделениями проведен анализ выявленных в администрации нарушений антимонопольного законодательства за предыдущие три года.</w:t>
      </w:r>
    </w:p>
    <w:p w:rsidR="008E1019" w:rsidRDefault="00C6223F">
      <w:pPr>
        <w:pStyle w:val="22"/>
        <w:framePr w:w="9446" w:h="12129" w:hRule="exact" w:wrap="none" w:vAnchor="page" w:hAnchor="page" w:x="1595" w:y="1177"/>
        <w:shd w:val="clear" w:color="auto" w:fill="auto"/>
        <w:spacing w:before="0" w:line="317" w:lineRule="exact"/>
        <w:ind w:firstLine="760"/>
      </w:pPr>
      <w:r>
        <w:t>По результатам проведенного анализа установлено следующее:</w:t>
      </w:r>
    </w:p>
    <w:p w:rsidR="008E1019" w:rsidRDefault="00C6223F">
      <w:pPr>
        <w:pStyle w:val="22"/>
        <w:framePr w:w="9446" w:h="12129" w:hRule="exact" w:wrap="none" w:vAnchor="page" w:hAnchor="page" w:x="1595" w:y="1177"/>
        <w:numPr>
          <w:ilvl w:val="0"/>
          <w:numId w:val="2"/>
        </w:numPr>
        <w:shd w:val="clear" w:color="auto" w:fill="auto"/>
        <w:tabs>
          <w:tab w:val="left" w:pos="927"/>
        </w:tabs>
        <w:spacing w:before="0" w:line="317" w:lineRule="exact"/>
        <w:ind w:firstLine="760"/>
      </w:pPr>
      <w:r>
        <w:t>нарушения в сфере закупок товаров, работ, ус</w:t>
      </w:r>
      <w:r>
        <w:t>луг для обеспечения государственных и муниципальных нужд не выявлены;</w:t>
      </w:r>
    </w:p>
    <w:p w:rsidR="008E1019" w:rsidRDefault="00C6223F">
      <w:pPr>
        <w:pStyle w:val="22"/>
        <w:framePr w:w="9446" w:h="12129" w:hRule="exact" w:wrap="none" w:vAnchor="page" w:hAnchor="page" w:x="1595" w:y="1177"/>
        <w:numPr>
          <w:ilvl w:val="0"/>
          <w:numId w:val="2"/>
        </w:numPr>
        <w:shd w:val="clear" w:color="auto" w:fill="auto"/>
        <w:tabs>
          <w:tab w:val="left" w:pos="932"/>
        </w:tabs>
        <w:spacing w:before="0" w:line="317" w:lineRule="exact"/>
        <w:ind w:firstLine="760"/>
      </w:pPr>
      <w:r>
        <w:t>отсутствуют нормативные правовые акты администрации, в которых У ФАС выявлены нарушения антимонопольного законодательства за анализируемый период.</w:t>
      </w:r>
    </w:p>
    <w:p w:rsidR="008E1019" w:rsidRDefault="00C6223F">
      <w:pPr>
        <w:pStyle w:val="40"/>
        <w:framePr w:w="9446" w:h="1297" w:hRule="exact" w:wrap="none" w:vAnchor="page" w:hAnchor="page" w:x="1595" w:y="13928"/>
        <w:numPr>
          <w:ilvl w:val="0"/>
          <w:numId w:val="1"/>
        </w:numPr>
        <w:shd w:val="clear" w:color="auto" w:fill="auto"/>
        <w:tabs>
          <w:tab w:val="left" w:pos="1517"/>
        </w:tabs>
        <w:spacing w:after="0" w:line="307" w:lineRule="exact"/>
        <w:ind w:firstLine="760"/>
      </w:pPr>
      <w:r>
        <w:t>Анализ действующих нормативных правовых</w:t>
      </w:r>
      <w:r>
        <w:t xml:space="preserve"> актов администрации Пинежского муниципального района Архангельской области на предмет их соответствия антимонопольному законодательству.</w:t>
      </w:r>
    </w:p>
    <w:p w:rsidR="008E1019" w:rsidRDefault="008E1019">
      <w:pPr>
        <w:rPr>
          <w:sz w:val="2"/>
          <w:szCs w:val="2"/>
        </w:rPr>
        <w:sectPr w:rsidR="008E10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 w:line="317" w:lineRule="exact"/>
        <w:ind w:firstLine="780"/>
      </w:pPr>
      <w:r>
        <w:lastRenderedPageBreak/>
        <w:t>В соответствии с п. 3.5. Положения, а так же в целях выявления и исключения рисков нарушения ант</w:t>
      </w:r>
      <w:r>
        <w:t>имонопольного законодательства и проведения анализа нормативных правовых актов администрации на соответствие их антимонопольному законодательству уполномоченным структурным подразделением сформирован Перечень действующих нормативных правовых актов админист</w:t>
      </w:r>
      <w:r>
        <w:t>рации.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tabs>
          <w:tab w:val="left" w:pos="1486"/>
          <w:tab w:val="left" w:pos="2911"/>
          <w:tab w:val="left" w:pos="6593"/>
          <w:tab w:val="left" w:pos="8628"/>
        </w:tabs>
        <w:spacing w:before="0"/>
        <w:ind w:firstLine="780"/>
      </w:pPr>
      <w:r>
        <w:t>По</w:t>
      </w:r>
      <w:r>
        <w:tab/>
        <w:t>итогам</w:t>
      </w:r>
      <w:r>
        <w:tab/>
        <w:t>проведенного анализа</w:t>
      </w:r>
      <w:r>
        <w:tab/>
        <w:t>действующих</w:t>
      </w:r>
      <w:r>
        <w:tab/>
        <w:t>НПА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 w:after="240"/>
      </w:pPr>
      <w:r>
        <w:t>уполномоченным структурным подразделением сделан вывод об их соответствии антимонопольному законодательству.</w:t>
      </w:r>
    </w:p>
    <w:p w:rsidR="008E1019" w:rsidRDefault="00C6223F">
      <w:pPr>
        <w:pStyle w:val="20"/>
        <w:framePr w:w="9446" w:h="14571" w:hRule="exact" w:wrap="none" w:vAnchor="page" w:hAnchor="page" w:x="1595" w:y="1139"/>
        <w:numPr>
          <w:ilvl w:val="0"/>
          <w:numId w:val="1"/>
        </w:numPr>
        <w:shd w:val="clear" w:color="auto" w:fill="auto"/>
        <w:tabs>
          <w:tab w:val="left" w:pos="1733"/>
          <w:tab w:val="left" w:pos="8628"/>
        </w:tabs>
        <w:spacing w:before="0" w:after="0" w:line="322" w:lineRule="exact"/>
        <w:ind w:firstLine="780"/>
        <w:jc w:val="both"/>
      </w:pPr>
      <w:bookmarkStart w:id="5" w:name="bookmark4"/>
      <w:r>
        <w:t>Анализ проектов нормативных правовых</w:t>
      </w:r>
      <w:r>
        <w:tab/>
        <w:t>актов</w:t>
      </w:r>
      <w:bookmarkEnd w:id="5"/>
    </w:p>
    <w:p w:rsidR="008E1019" w:rsidRDefault="00C6223F">
      <w:pPr>
        <w:pStyle w:val="40"/>
        <w:framePr w:w="9446" w:h="14571" w:hRule="exact" w:wrap="none" w:vAnchor="page" w:hAnchor="page" w:x="1595" w:y="1139"/>
        <w:shd w:val="clear" w:color="auto" w:fill="auto"/>
        <w:tabs>
          <w:tab w:val="left" w:pos="1486"/>
          <w:tab w:val="left" w:pos="3882"/>
          <w:tab w:val="left" w:pos="4664"/>
        </w:tabs>
        <w:spacing w:after="0"/>
      </w:pPr>
      <w:r>
        <w:t xml:space="preserve">администрации Пинежского муниципального района </w:t>
      </w:r>
      <w:r>
        <w:t>Архангельской области</w:t>
      </w:r>
      <w:r>
        <w:tab/>
        <w:t>на предмет</w:t>
      </w:r>
      <w:r>
        <w:tab/>
        <w:t>их</w:t>
      </w:r>
      <w:r>
        <w:tab/>
        <w:t>соответствия антимонопольному</w:t>
      </w:r>
    </w:p>
    <w:p w:rsidR="008E1019" w:rsidRDefault="00C6223F">
      <w:pPr>
        <w:pStyle w:val="40"/>
        <w:framePr w:w="9446" w:h="14571" w:hRule="exact" w:wrap="none" w:vAnchor="page" w:hAnchor="page" w:x="1595" w:y="1139"/>
        <w:shd w:val="clear" w:color="auto" w:fill="auto"/>
        <w:spacing w:after="240"/>
      </w:pPr>
      <w:r>
        <w:t>законодательству.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 w:after="236"/>
        <w:ind w:firstLine="780"/>
      </w:pPr>
      <w:r>
        <w:t>В целях обеспечения проведения анализа проектов нормативных правовых актов администрации направляются в уполномоченное структурное подразделение для проведения правовой экс</w:t>
      </w:r>
      <w:r>
        <w:t>пертизы на предмет возможного нарушения антимонопольного законодательства.</w:t>
      </w:r>
    </w:p>
    <w:p w:rsidR="008E1019" w:rsidRDefault="00C6223F">
      <w:pPr>
        <w:pStyle w:val="20"/>
        <w:framePr w:w="9446" w:h="14571" w:hRule="exact" w:wrap="none" w:vAnchor="page" w:hAnchor="page" w:x="1595" w:y="1139"/>
        <w:numPr>
          <w:ilvl w:val="0"/>
          <w:numId w:val="1"/>
        </w:numPr>
        <w:shd w:val="clear" w:color="auto" w:fill="auto"/>
        <w:tabs>
          <w:tab w:val="left" w:pos="1733"/>
          <w:tab w:val="left" w:pos="3882"/>
          <w:tab w:val="left" w:pos="4664"/>
          <w:tab w:val="left" w:pos="6593"/>
        </w:tabs>
        <w:spacing w:before="0" w:after="0"/>
        <w:ind w:firstLine="780"/>
        <w:jc w:val="both"/>
      </w:pPr>
      <w:bookmarkStart w:id="6" w:name="bookmark5"/>
      <w:r>
        <w:t>Мероприятия</w:t>
      </w:r>
      <w:r>
        <w:tab/>
        <w:t>по</w:t>
      </w:r>
      <w:r>
        <w:tab/>
        <w:t>снижению</w:t>
      </w:r>
      <w:r>
        <w:tab/>
        <w:t>рисков нарушения</w:t>
      </w:r>
      <w:bookmarkEnd w:id="6"/>
    </w:p>
    <w:p w:rsidR="008E1019" w:rsidRDefault="00C6223F">
      <w:pPr>
        <w:pStyle w:val="40"/>
        <w:framePr w:w="9446" w:h="14571" w:hRule="exact" w:wrap="none" w:vAnchor="page" w:hAnchor="page" w:x="1595" w:y="1139"/>
        <w:shd w:val="clear" w:color="auto" w:fill="auto"/>
        <w:spacing w:after="244" w:line="326" w:lineRule="exact"/>
      </w:pPr>
      <w:r>
        <w:t>антимонопольного законодательства.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tabs>
          <w:tab w:val="left" w:pos="4134"/>
          <w:tab w:val="left" w:pos="7062"/>
        </w:tabs>
        <w:spacing w:before="0"/>
        <w:ind w:firstLine="780"/>
      </w:pPr>
      <w:r>
        <w:t>В целях снижения</w:t>
      </w:r>
      <w:r>
        <w:tab/>
        <w:t>рисков нарушения</w:t>
      </w:r>
      <w:r>
        <w:tab/>
        <w:t>антимонопольного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/>
      </w:pPr>
      <w:r>
        <w:t xml:space="preserve">законодательства разработан План мероприятий </w:t>
      </w:r>
      <w:r>
        <w:t>(«дорожная карта») по снижению рисков нарушения антимонопольного законодательства в администрации МО «Пинежский район», который утвержден распоряжением администрации муниципального образования от 29 октября 2019 г. № 0193-ра и размещен на официальном сайте</w:t>
      </w:r>
      <w:r>
        <w:t xml:space="preserve"> администрации.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tabs>
          <w:tab w:val="left" w:pos="4134"/>
          <w:tab w:val="left" w:pos="4992"/>
          <w:tab w:val="left" w:pos="7062"/>
        </w:tabs>
        <w:spacing w:before="0" w:line="326" w:lineRule="exact"/>
        <w:ind w:firstLine="780"/>
      </w:pPr>
      <w:r>
        <w:t>С целью повышения квалификации сотрудников администрации в сфере антимонопольного законодательства проводятся рабочие совещания по вопросу механизма проведения анализа проектов НПА администрации на предмет соответствия</w:t>
      </w:r>
      <w:r>
        <w:tab/>
        <w:t>их</w:t>
      </w:r>
      <w:r>
        <w:tab/>
        <w:t>требованиям</w:t>
      </w:r>
      <w:r>
        <w:tab/>
        <w:t>антимо</w:t>
      </w:r>
      <w:r>
        <w:t>нопольного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 w:line="326" w:lineRule="exact"/>
      </w:pPr>
      <w:r>
        <w:t>законодательства, а так же с целью ознакомления работников структурных подразделений администрации с возможными рисками нарушения антимонопольного законодательства.</w:t>
      </w:r>
    </w:p>
    <w:p w:rsidR="008E1019" w:rsidRDefault="00C6223F">
      <w:pPr>
        <w:pStyle w:val="22"/>
        <w:framePr w:w="9446" w:h="14571" w:hRule="exact" w:wrap="none" w:vAnchor="page" w:hAnchor="page" w:x="1595" w:y="1139"/>
        <w:shd w:val="clear" w:color="auto" w:fill="auto"/>
        <w:spacing w:before="0" w:after="229"/>
        <w:ind w:firstLine="780"/>
      </w:pPr>
      <w:r>
        <w:t>В целях исключения положений, противоречащих нормам антимонопольного законодател</w:t>
      </w:r>
      <w:r>
        <w:t>ьства на стадии разработки проектов НПА, договоров, соглашений, уполномоченным подразделением на постоянной основе проводится правовая экспертиза перечисленных актов, подготовленных структурными подразделениями администрации.</w:t>
      </w:r>
    </w:p>
    <w:p w:rsidR="008E1019" w:rsidRDefault="00C6223F">
      <w:pPr>
        <w:pStyle w:val="40"/>
        <w:framePr w:w="9446" w:h="14571" w:hRule="exact" w:wrap="none" w:vAnchor="page" w:hAnchor="page" w:x="1595" w:y="1139"/>
        <w:numPr>
          <w:ilvl w:val="0"/>
          <w:numId w:val="1"/>
        </w:numPr>
        <w:shd w:val="clear" w:color="auto" w:fill="auto"/>
        <w:tabs>
          <w:tab w:val="left" w:pos="1486"/>
        </w:tabs>
        <w:spacing w:after="0" w:line="336" w:lineRule="exact"/>
        <w:ind w:right="220" w:firstLine="780"/>
      </w:pPr>
      <w:r>
        <w:t>Достижение ключевых показателе</w:t>
      </w:r>
      <w:r>
        <w:t>й эффективности функционирования в органах местной администрации антимонопольного комплаенса</w:t>
      </w:r>
    </w:p>
    <w:p w:rsidR="008E1019" w:rsidRDefault="008E1019">
      <w:pPr>
        <w:rPr>
          <w:sz w:val="2"/>
          <w:szCs w:val="2"/>
        </w:rPr>
        <w:sectPr w:rsidR="008E10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1019" w:rsidRDefault="00C6223F">
      <w:pPr>
        <w:pStyle w:val="22"/>
        <w:framePr w:w="9408" w:h="4861" w:hRule="exact" w:wrap="none" w:vAnchor="page" w:hAnchor="page" w:x="1614" w:y="1316"/>
        <w:shd w:val="clear" w:color="auto" w:fill="auto"/>
        <w:spacing w:before="0" w:line="317" w:lineRule="exact"/>
        <w:ind w:firstLine="740"/>
      </w:pPr>
      <w:r>
        <w:lastRenderedPageBreak/>
        <w:t xml:space="preserve">Проведена оценка эффективности функционирования антимонопольного комплаенса, а также расчёт ключевых показателей оценки эффективности </w:t>
      </w:r>
      <w:r>
        <w:t>антимонопольного комплаенса в администрации за отчетный период. Расчёт проведен в соответствии с методикой расчёта ключевых показателей эффективности функционирования антимонопольного комплаенса в администрации Пинежского муниципального района Архангельско</w:t>
      </w:r>
      <w:r>
        <w:t>й области, утвержденной распоряжением администрации от 29 октября 2019 года № 0193-ра.</w:t>
      </w:r>
    </w:p>
    <w:p w:rsidR="008E1019" w:rsidRDefault="00C6223F">
      <w:pPr>
        <w:pStyle w:val="22"/>
        <w:framePr w:w="9408" w:h="4861" w:hRule="exact" w:wrap="none" w:vAnchor="page" w:hAnchor="page" w:x="1614" w:y="1316"/>
        <w:shd w:val="clear" w:color="auto" w:fill="auto"/>
        <w:spacing w:before="0" w:line="317" w:lineRule="exact"/>
        <w:ind w:firstLine="740"/>
      </w:pPr>
      <w:r>
        <w:t xml:space="preserve">Доля проектов нормативных правовых актов администрации, в которых выявлены риски нарушения антимонопольного законодательства, - </w:t>
      </w:r>
      <w:r>
        <w:rPr>
          <w:rStyle w:val="213pt"/>
        </w:rPr>
        <w:t>0</w:t>
      </w:r>
      <w:r>
        <w:rPr>
          <w:rStyle w:val="2CordiaUPC24pt"/>
          <w:b w:val="0"/>
          <w:bCs w:val="0"/>
        </w:rPr>
        <w:t>.</w:t>
      </w:r>
    </w:p>
    <w:p w:rsidR="008E1019" w:rsidRDefault="00C6223F">
      <w:pPr>
        <w:pStyle w:val="22"/>
        <w:framePr w:w="9408" w:h="4861" w:hRule="exact" w:wrap="none" w:vAnchor="page" w:hAnchor="page" w:x="1614" w:y="1316"/>
        <w:shd w:val="clear" w:color="auto" w:fill="auto"/>
        <w:spacing w:before="0" w:line="317" w:lineRule="exact"/>
        <w:ind w:firstLine="740"/>
      </w:pPr>
      <w:r>
        <w:t xml:space="preserve">Доля нормативных правовых актов </w:t>
      </w:r>
      <w:r>
        <w:t>администрации, в которых выявлены риски нарушения антимонопольного законодательства, - 0.</w:t>
      </w:r>
    </w:p>
    <w:p w:rsidR="008E1019" w:rsidRDefault="00C6223F">
      <w:pPr>
        <w:pStyle w:val="22"/>
        <w:framePr w:w="9408" w:h="4861" w:hRule="exact" w:wrap="none" w:vAnchor="page" w:hAnchor="page" w:x="1614" w:y="1316"/>
        <w:shd w:val="clear" w:color="auto" w:fill="auto"/>
        <w:spacing w:before="0" w:line="317" w:lineRule="exact"/>
        <w:ind w:firstLine="740"/>
      </w:pPr>
      <w:r>
        <w:t>Ключевой показатель эффективности функционирования антимонопольного комплаенса в администрации на 2022 год достигнут.</w:t>
      </w:r>
    </w:p>
    <w:p w:rsidR="008E1019" w:rsidRDefault="008E1019">
      <w:pPr>
        <w:rPr>
          <w:sz w:val="2"/>
          <w:szCs w:val="2"/>
        </w:rPr>
      </w:pPr>
    </w:p>
    <w:sectPr w:rsidR="008E10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3F" w:rsidRDefault="00C6223F">
      <w:r>
        <w:separator/>
      </w:r>
    </w:p>
  </w:endnote>
  <w:endnote w:type="continuationSeparator" w:id="0">
    <w:p w:rsidR="00C6223F" w:rsidRDefault="00C6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3F" w:rsidRDefault="00C6223F"/>
  </w:footnote>
  <w:footnote w:type="continuationSeparator" w:id="0">
    <w:p w:rsidR="00C6223F" w:rsidRDefault="00C622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53074"/>
    <w:multiLevelType w:val="multilevel"/>
    <w:tmpl w:val="10AC07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AF38A0"/>
    <w:multiLevelType w:val="multilevel"/>
    <w:tmpl w:val="06A44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1019"/>
    <w:rsid w:val="00710202"/>
    <w:rsid w:val="008E1019"/>
    <w:rsid w:val="00C6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AD1E3-6517-44E5-95C7-2E1ABF9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020" w:after="3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Н.М. Щеголихина</cp:lastModifiedBy>
  <cp:revision>2</cp:revision>
  <dcterms:created xsi:type="dcterms:W3CDTF">2023-04-13T09:50:00Z</dcterms:created>
  <dcterms:modified xsi:type="dcterms:W3CDTF">2023-04-13T09:50:00Z</dcterms:modified>
</cp:coreProperties>
</file>